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val="0"/>
        <w:wordWrap/>
        <w:overflowPunct/>
        <w:topLinePunct w:val="0"/>
        <w:autoSpaceDE/>
        <w:autoSpaceDN w:val="0"/>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10" w:name="_GoBack"/>
      <w:bookmarkEnd w:id="10"/>
      <w:r>
        <w:rPr>
          <w:rFonts w:hint="eastAsia" w:ascii="方正小标宋简体" w:hAnsi="方正小标宋简体" w:eastAsia="方正小标宋简体" w:cs="方正小标宋简体"/>
          <w:color w:val="auto"/>
          <w:sz w:val="44"/>
          <w:szCs w:val="44"/>
          <w:lang w:val="en-US" w:eastAsia="zh-CN"/>
        </w:rPr>
        <w:t>招远市医疗保障局</w:t>
      </w:r>
    </w:p>
    <w:p>
      <w:pPr>
        <w:keepNext/>
        <w:keepLines w:val="0"/>
        <w:pageBreakBefore w:val="0"/>
        <w:widowControl w:val="0"/>
        <w:kinsoku w:val="0"/>
        <w:wordWrap/>
        <w:overflowPunct/>
        <w:topLinePunct w:val="0"/>
        <w:autoSpaceDE/>
        <w:autoSpaceDN w:val="0"/>
        <w:bidi w:val="0"/>
        <w:adjustRightInd/>
        <w:snapToGrid/>
        <w:spacing w:line="540" w:lineRule="exact"/>
        <w:jc w:val="center"/>
        <w:textAlignment w:val="auto"/>
        <w:rPr>
          <w:rFonts w:hint="eastAsia" w:ascii="黑体" w:hAnsi="黑体" w:eastAsia="黑体" w:cs="黑体"/>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2022年政府信息公开工作年度报告</w:t>
      </w:r>
    </w:p>
    <w:p>
      <w:pPr>
        <w:keepNext/>
        <w:keepLines w:val="0"/>
        <w:pageBreakBefore w:val="0"/>
        <w:widowControl w:val="0"/>
        <w:numPr>
          <w:ilvl w:val="0"/>
          <w:numId w:val="0"/>
        </w:numPr>
        <w:kinsoku w:val="0"/>
        <w:wordWrap/>
        <w:overflowPunct/>
        <w:topLinePunct w:val="0"/>
        <w:autoSpaceDE/>
        <w:autoSpaceDN w:val="0"/>
        <w:bidi w:val="0"/>
        <w:adjustRightInd/>
        <w:snapToGrid/>
        <w:spacing w:line="578" w:lineRule="exact"/>
        <w:ind w:firstLine="640" w:firstLineChars="200"/>
        <w:jc w:val="both"/>
        <w:textAlignment w:val="auto"/>
        <w:rPr>
          <w:rFonts w:hint="eastAsia" w:ascii="黑体" w:hAnsi="黑体" w:eastAsia="黑体" w:cs="黑体"/>
          <w:color w:val="auto"/>
          <w:sz w:val="32"/>
          <w:szCs w:val="32"/>
          <w:lang w:val="en-US" w:eastAsia="zh-CN"/>
        </w:rPr>
      </w:pPr>
    </w:p>
    <w:p>
      <w:pPr>
        <w:keepNext/>
        <w:keepLines w:val="0"/>
        <w:pageBreakBefore w:val="0"/>
        <w:widowControl w:val="0"/>
        <w:kinsoku/>
        <w:wordWrap/>
        <w:overflowPunct/>
        <w:topLinePunct w:val="0"/>
        <w:autoSpaceDE/>
        <w:autoSpaceDN w:val="0"/>
        <w:bidi w:val="0"/>
        <w:adjustRightInd/>
        <w:snapToGrid/>
        <w:spacing w:line="578"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仿宋_GB2312" w:eastAsia="仿宋_GB2312"/>
          <w:color w:val="auto"/>
          <w:sz w:val="32"/>
          <w:szCs w:val="32"/>
        </w:rPr>
        <w:t>根据《中华人民共和国政府信息公开条例》及</w:t>
      </w:r>
      <w:r>
        <w:rPr>
          <w:rFonts w:hint="eastAsia"/>
          <w:color w:val="auto"/>
          <w:sz w:val="32"/>
          <w:szCs w:val="32"/>
          <w:lang w:eastAsia="zh-CN"/>
        </w:rPr>
        <w:t>上级</w:t>
      </w:r>
      <w:r>
        <w:rPr>
          <w:rFonts w:hint="eastAsia" w:ascii="仿宋_GB2312" w:eastAsia="仿宋_GB2312"/>
          <w:color w:val="auto"/>
          <w:sz w:val="32"/>
          <w:szCs w:val="32"/>
        </w:rPr>
        <w:t>关于政府信息公开工作的有关规定，市</w:t>
      </w:r>
      <w:r>
        <w:rPr>
          <w:rFonts w:hint="eastAsia"/>
          <w:color w:val="auto"/>
          <w:sz w:val="32"/>
          <w:szCs w:val="32"/>
          <w:lang w:val="en-US" w:eastAsia="zh-CN"/>
        </w:rPr>
        <w:t>医疗保障局</w:t>
      </w:r>
      <w:r>
        <w:rPr>
          <w:rFonts w:hint="eastAsia" w:ascii="仿宋_GB2312" w:eastAsia="仿宋_GB2312"/>
          <w:color w:val="auto"/>
          <w:sz w:val="32"/>
          <w:szCs w:val="32"/>
        </w:rPr>
        <w:t>结合工作实际编制本报告，所列数据的统计期限</w:t>
      </w:r>
      <w:r>
        <w:rPr>
          <w:rFonts w:hint="eastAsia"/>
          <w:color w:val="auto"/>
          <w:sz w:val="32"/>
          <w:szCs w:val="32"/>
          <w:lang w:eastAsia="zh-CN"/>
        </w:rPr>
        <w:t>自</w:t>
      </w:r>
      <w:r>
        <w:rPr>
          <w:rFonts w:hint="eastAsia" w:ascii="仿宋_GB2312" w:eastAsia="仿宋_GB2312"/>
          <w:color w:val="auto"/>
          <w:sz w:val="32"/>
          <w:szCs w:val="32"/>
        </w:rPr>
        <w:t>202</w:t>
      </w:r>
      <w:r>
        <w:rPr>
          <w:rFonts w:hint="eastAsia"/>
          <w:color w:val="auto"/>
          <w:sz w:val="32"/>
          <w:szCs w:val="32"/>
          <w:lang w:val="en-US" w:eastAsia="zh-CN"/>
        </w:rPr>
        <w:t>2</w:t>
      </w:r>
      <w:r>
        <w:rPr>
          <w:rFonts w:hint="eastAsia" w:ascii="仿宋_GB2312" w:eastAsia="仿宋_GB2312"/>
          <w:color w:val="auto"/>
          <w:sz w:val="32"/>
          <w:szCs w:val="32"/>
        </w:rPr>
        <w:t>年1月1日起至12月31日止。</w:t>
      </w:r>
    </w:p>
    <w:p>
      <w:pPr>
        <w:keepNext/>
        <w:keepLines w:val="0"/>
        <w:pageBreakBefore w:val="0"/>
        <w:widowControl w:val="0"/>
        <w:numPr>
          <w:ilvl w:val="0"/>
          <w:numId w:val="1"/>
        </w:numPr>
        <w:kinsoku w:val="0"/>
        <w:wordWrap/>
        <w:overflowPunct/>
        <w:topLinePunct w:val="0"/>
        <w:autoSpaceDE/>
        <w:autoSpaceDN w:val="0"/>
        <w:bidi w:val="0"/>
        <w:adjustRightInd/>
        <w:snapToGrid/>
        <w:spacing w:line="578"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640"/>
        <w:jc w:val="both"/>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2022年，招远市医疗保障局认真贯彻市政府关于政务公开的工作部署，围绕政务公开工作要点，进一步完善各项规章制度，创新公开形式，提高信息公开的质量和水平，全面、及时、主动地向社会公开各类政府信息。严格按照新修订《条例》等制度要求，着力提升政务公开质量，完善政务公开制度规范，以公开透明、优化服务为出发点，积极做好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hAnsi="仿宋_GB2312" w:cs="仿宋_GB2312"/>
          <w:color w:val="auto"/>
          <w:sz w:val="32"/>
          <w:szCs w:val="32"/>
          <w:shd w:val="clear" w:color="auto" w:fill="FFFFFF"/>
          <w:lang w:val="en-US" w:eastAsia="zh-CN"/>
        </w:rPr>
      </w:pPr>
      <w:r>
        <w:rPr>
          <w:rFonts w:hint="eastAsia" w:ascii="楷体_GB2312" w:hAnsi="楷体_GB2312" w:eastAsia="楷体_GB2312" w:cs="楷体_GB2312"/>
          <w:b w:val="0"/>
          <w:bCs w:val="0"/>
          <w:color w:val="auto"/>
          <w:sz w:val="32"/>
          <w:szCs w:val="32"/>
          <w:lang w:val="en-US" w:eastAsia="zh-CN"/>
        </w:rPr>
        <w:t>1.</w:t>
      </w:r>
      <w:r>
        <w:rPr>
          <w:rFonts w:hint="eastAsia" w:ascii="楷体_GB2312" w:hAnsi="楷体_GB2312" w:eastAsia="楷体_GB2312" w:cs="楷体_GB2312"/>
          <w:b w:val="0"/>
          <w:bCs w:val="0"/>
          <w:color w:val="auto"/>
          <w:sz w:val="32"/>
          <w:szCs w:val="32"/>
        </w:rPr>
        <w:t>主动公开。</w:t>
      </w:r>
      <w:r>
        <w:rPr>
          <w:rFonts w:hint="eastAsia" w:ascii="仿宋_GB2312" w:hAnsi="Times New Roman" w:eastAsia="仿宋_GB2312" w:cs="Times New Roman"/>
          <w:b w:val="0"/>
          <w:bCs w:val="0"/>
          <w:color w:val="auto"/>
          <w:kern w:val="2"/>
          <w:sz w:val="32"/>
          <w:szCs w:val="32"/>
          <w:lang w:val="en-US" w:eastAsia="zh-CN" w:bidi="ar-SA"/>
        </w:rPr>
        <w:t>2022年，我局贯彻落实《中华人民共和国政府信息公开条例》，</w:t>
      </w:r>
      <w:r>
        <w:rPr>
          <w:rFonts w:hint="eastAsia" w:cs="Times New Roman"/>
          <w:b w:val="0"/>
          <w:bCs w:val="0"/>
          <w:color w:val="auto"/>
          <w:kern w:val="2"/>
          <w:sz w:val="32"/>
          <w:szCs w:val="32"/>
          <w:lang w:val="en-US" w:eastAsia="zh-CN" w:bidi="ar-SA"/>
        </w:rPr>
        <w:t>结合部门职责，进一步健全医疗保障政务公开制度，</w:t>
      </w:r>
      <w:r>
        <w:rPr>
          <w:rFonts w:hint="eastAsia" w:ascii="仿宋_GB2312" w:hAnsi="仿宋_GB2312" w:eastAsia="仿宋_GB2312" w:cs="仿宋_GB2312"/>
          <w:color w:val="auto"/>
          <w:sz w:val="32"/>
          <w:szCs w:val="32"/>
          <w:shd w:val="clear" w:color="auto" w:fill="FFFFFF"/>
          <w:lang w:val="en-US" w:eastAsia="zh-CN"/>
        </w:rPr>
        <w:t>在招远</w:t>
      </w:r>
      <w:r>
        <w:rPr>
          <w:rFonts w:hint="eastAsia" w:hAnsi="仿宋_GB2312" w:cs="仿宋_GB2312"/>
          <w:color w:val="auto"/>
          <w:sz w:val="32"/>
          <w:szCs w:val="32"/>
          <w:shd w:val="clear" w:color="auto" w:fill="FFFFFF"/>
          <w:lang w:val="en-US" w:eastAsia="zh-CN"/>
        </w:rPr>
        <w:t>市人民</w:t>
      </w:r>
      <w:r>
        <w:rPr>
          <w:rFonts w:hint="eastAsia" w:ascii="仿宋_GB2312" w:hAnsi="仿宋_GB2312" w:eastAsia="仿宋_GB2312" w:cs="仿宋_GB2312"/>
          <w:color w:val="auto"/>
          <w:sz w:val="32"/>
          <w:szCs w:val="32"/>
          <w:shd w:val="clear" w:color="auto" w:fill="FFFFFF"/>
          <w:lang w:val="en-US" w:eastAsia="zh-CN"/>
        </w:rPr>
        <w:t>政府网站主动公开部门机构职能</w:t>
      </w:r>
      <w:r>
        <w:rPr>
          <w:rFonts w:hint="eastAsia" w:hAnsi="仿宋_GB2312" w:cs="仿宋_GB2312"/>
          <w:color w:val="auto"/>
          <w:sz w:val="32"/>
          <w:szCs w:val="32"/>
          <w:shd w:val="clear" w:color="auto" w:fill="FFFFFF"/>
          <w:lang w:val="en-US" w:eastAsia="zh-CN"/>
        </w:rPr>
        <w:t>、</w:t>
      </w:r>
      <w:r>
        <w:rPr>
          <w:rFonts w:hint="eastAsia" w:ascii="仿宋_GB2312" w:hAnsi="Times New Roman" w:eastAsia="仿宋_GB2312" w:cs="Times New Roman"/>
          <w:b w:val="0"/>
          <w:bCs w:val="0"/>
          <w:color w:val="auto"/>
          <w:kern w:val="2"/>
          <w:sz w:val="32"/>
          <w:szCs w:val="32"/>
          <w:lang w:val="en-US" w:eastAsia="zh-CN" w:bidi="ar-SA"/>
        </w:rPr>
        <w:t>工作动态</w:t>
      </w:r>
      <w:r>
        <w:rPr>
          <w:rFonts w:hint="eastAsia" w:ascii="仿宋_GB2312" w:hAnsi="仿宋_GB2312" w:eastAsia="仿宋_GB2312" w:cs="仿宋_GB2312"/>
          <w:color w:val="auto"/>
          <w:sz w:val="32"/>
          <w:szCs w:val="32"/>
          <w:shd w:val="clear" w:color="auto" w:fill="FFFFFF"/>
          <w:lang w:val="en-US" w:eastAsia="zh-CN"/>
        </w:rPr>
        <w:t>等各类</w:t>
      </w:r>
      <w:r>
        <w:rPr>
          <w:rFonts w:hint="eastAsia" w:hAnsi="仿宋_GB2312" w:cs="仿宋_GB2312"/>
          <w:color w:val="auto"/>
          <w:sz w:val="32"/>
          <w:szCs w:val="32"/>
          <w:shd w:val="clear" w:color="auto" w:fill="FFFFFF"/>
          <w:lang w:val="en-US" w:eastAsia="zh-CN"/>
        </w:rPr>
        <w:t>政府</w:t>
      </w:r>
      <w:r>
        <w:rPr>
          <w:rFonts w:hint="eastAsia" w:ascii="仿宋_GB2312" w:hAnsi="仿宋_GB2312" w:eastAsia="仿宋_GB2312" w:cs="仿宋_GB2312"/>
          <w:color w:val="auto"/>
          <w:sz w:val="32"/>
          <w:szCs w:val="32"/>
          <w:shd w:val="clear" w:color="auto" w:fill="FFFFFF"/>
          <w:lang w:val="en-US" w:eastAsia="zh-CN"/>
        </w:rPr>
        <w:t>信息</w:t>
      </w:r>
      <w:r>
        <w:rPr>
          <w:rFonts w:hint="eastAsia" w:hAnsi="仿宋_GB2312" w:cs="仿宋_GB2312"/>
          <w:color w:val="auto"/>
          <w:sz w:val="32"/>
          <w:szCs w:val="32"/>
          <w:shd w:val="clear" w:color="auto" w:fill="FFFFFF"/>
          <w:lang w:val="en-US" w:eastAsia="zh-CN"/>
        </w:rPr>
        <w:t>共计56</w:t>
      </w:r>
      <w:r>
        <w:rPr>
          <w:rFonts w:hint="eastAsia" w:ascii="仿宋_GB2312" w:hAnsi="仿宋_GB2312" w:eastAsia="仿宋_GB2312" w:cs="仿宋_GB2312"/>
          <w:color w:val="auto"/>
          <w:sz w:val="32"/>
          <w:szCs w:val="32"/>
          <w:shd w:val="clear" w:color="auto" w:fill="FFFFFF"/>
          <w:lang w:val="en-US" w:eastAsia="zh-CN"/>
        </w:rPr>
        <w:t>条，</w:t>
      </w:r>
      <w:r>
        <w:rPr>
          <w:rFonts w:hint="eastAsia" w:hAnsi="仿宋_GB2312" w:cs="仿宋_GB2312"/>
          <w:color w:val="auto"/>
          <w:sz w:val="32"/>
          <w:szCs w:val="32"/>
          <w:shd w:val="clear" w:color="auto" w:fill="FFFFFF"/>
          <w:lang w:val="en-US" w:eastAsia="zh-CN"/>
        </w:rPr>
        <w:t>其中：主动公开部门政策文件3条，没有重大政策需要解读；发布部门公示公告4条;行政执法事项清单、处罚决定信息等行政执法相关信息10条</w:t>
      </w:r>
      <w:r>
        <w:rPr>
          <w:rFonts w:hint="eastAsia" w:hAnsi="仿宋_GB2312" w:cs="仿宋_GB2312"/>
          <w:color w:val="auto"/>
          <w:lang w:val="en-US" w:eastAsia="zh-CN"/>
        </w:rPr>
        <w:t>；</w:t>
      </w:r>
      <w:r>
        <w:rPr>
          <w:rFonts w:hint="eastAsia" w:hAnsi="仿宋_GB2312" w:cs="仿宋_GB2312"/>
          <w:color w:val="auto"/>
          <w:sz w:val="32"/>
          <w:szCs w:val="32"/>
          <w:shd w:val="clear" w:color="auto" w:fill="FFFFFF"/>
          <w:lang w:val="en-US" w:eastAsia="zh-CN"/>
        </w:rPr>
        <w:t>发布我局领导信息及机构概况6条；公开政府重点工作进展情况4次；全市重点民生事项进展情况29次，所有内容均做到了按时更新。</w:t>
      </w:r>
    </w:p>
    <w:p>
      <w:pPr>
        <w:keepNext/>
        <w:keepLines w:val="0"/>
        <w:pageBreakBefore w:val="0"/>
        <w:widowControl w:val="0"/>
        <w:kinsoku w:val="0"/>
        <w:wordWrap/>
        <w:overflowPunct/>
        <w:topLinePunct w:val="0"/>
        <w:autoSpaceDE/>
        <w:autoSpaceDN w:val="0"/>
        <w:bidi w:val="0"/>
        <w:adjustRightInd/>
        <w:snapToGrid/>
        <w:spacing w:line="578" w:lineRule="exact"/>
        <w:textAlignment w:val="auto"/>
        <w:rPr>
          <w:rFonts w:hint="eastAsia"/>
          <w:color w:val="auto"/>
          <w:lang w:val="en-US" w:eastAsia="zh-CN"/>
        </w:rPr>
      </w:pPr>
      <w:r>
        <w:rPr>
          <w:color w:val="auto"/>
        </w:rPr>
        <w:drawing>
          <wp:anchor distT="0" distB="0" distL="114300" distR="114300" simplePos="0" relativeHeight="251660288" behindDoc="0" locked="0" layoutInCell="1" allowOverlap="1">
            <wp:simplePos x="0" y="0"/>
            <wp:positionH relativeFrom="column">
              <wp:posOffset>19050</wp:posOffset>
            </wp:positionH>
            <wp:positionV relativeFrom="page">
              <wp:posOffset>5548630</wp:posOffset>
            </wp:positionV>
            <wp:extent cx="5594985" cy="2844165"/>
            <wp:effectExtent l="0" t="0" r="0" b="0"/>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rcRect r="1111"/>
                    <a:stretch>
                      <a:fillRect/>
                    </a:stretch>
                  </pic:blipFill>
                  <pic:spPr>
                    <a:xfrm>
                      <a:off x="0" y="0"/>
                      <a:ext cx="5594985" cy="2844165"/>
                    </a:xfrm>
                    <a:prstGeom prst="rect">
                      <a:avLst/>
                    </a:prstGeom>
                    <a:noFill/>
                    <a:ln w="9525">
                      <a:noFill/>
                    </a:ln>
                  </pic:spPr>
                </pic:pic>
              </a:graphicData>
            </a:graphic>
          </wp:anchor>
        </w:drawing>
      </w:r>
      <w:r>
        <w:rPr>
          <w:color w:val="auto"/>
        </w:rPr>
        <w:drawing>
          <wp:anchor distT="0" distB="0" distL="114300" distR="114300" simplePos="0" relativeHeight="251659264" behindDoc="0" locked="0" layoutInCell="1" allowOverlap="1">
            <wp:simplePos x="0" y="0"/>
            <wp:positionH relativeFrom="column">
              <wp:posOffset>-1270</wp:posOffset>
            </wp:positionH>
            <wp:positionV relativeFrom="page">
              <wp:posOffset>1371600</wp:posOffset>
            </wp:positionV>
            <wp:extent cx="5614670" cy="4015105"/>
            <wp:effectExtent l="4445" t="4445" r="19685" b="1905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color w:val="auto"/>
          <w:lang w:val="en-US" w:eastAsia="zh-CN"/>
        </w:rPr>
        <w:t xml:space="preserve">  </w:t>
      </w:r>
    </w:p>
    <w:p>
      <w:pPr>
        <w:keepNext/>
        <w:keepLines w:val="0"/>
        <w:pageBreakBefore w:val="0"/>
        <w:widowControl w:val="0"/>
        <w:kinsoku w:val="0"/>
        <w:wordWrap/>
        <w:overflowPunct/>
        <w:topLinePunct w:val="0"/>
        <w:autoSpaceDE/>
        <w:autoSpaceDN w:val="0"/>
        <w:bidi w:val="0"/>
        <w:adjustRightInd/>
        <w:snapToGrid/>
        <w:spacing w:line="578" w:lineRule="exact"/>
        <w:textAlignment w:val="auto"/>
        <w:rPr>
          <w:rFonts w:hint="eastAsia"/>
          <w:color w:val="auto"/>
          <w:lang w:val="en-US" w:eastAsia="zh-CN"/>
        </w:rPr>
      </w:pPr>
      <w:r>
        <w:rPr>
          <w:rFonts w:hint="eastAsia"/>
          <w:color w:val="auto"/>
          <w:lang w:val="en-US" w:eastAsia="zh-CN"/>
        </w:rPr>
        <w:t xml:space="preserve">    </w:t>
      </w:r>
    </w:p>
    <w:p>
      <w:pPr>
        <w:pStyle w:val="2"/>
        <w:rPr>
          <w:rFonts w:hint="eastAsia"/>
          <w:color w:val="auto"/>
          <w:lang w:val="en-US" w:eastAsia="zh-CN"/>
        </w:rPr>
      </w:pPr>
      <w:r>
        <w:rPr>
          <w:color w:val="auto"/>
        </w:rPr>
        <w:drawing>
          <wp:inline distT="0" distB="0" distL="114300" distR="114300">
            <wp:extent cx="5596255" cy="2842260"/>
            <wp:effectExtent l="0" t="0" r="4445" b="1524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rcRect r="1014"/>
                    <a:stretch>
                      <a:fillRect/>
                    </a:stretch>
                  </pic:blipFill>
                  <pic:spPr>
                    <a:xfrm>
                      <a:off x="0" y="0"/>
                      <a:ext cx="5596255" cy="2842260"/>
                    </a:xfrm>
                    <a:prstGeom prst="rect">
                      <a:avLst/>
                    </a:prstGeom>
                    <a:noFill/>
                    <a:ln w="9525">
                      <a:noFill/>
                    </a:ln>
                  </pic:spPr>
                </pic:pic>
              </a:graphicData>
            </a:graphic>
          </wp:inline>
        </w:drawing>
      </w:r>
    </w:p>
    <w:p>
      <w:pPr>
        <w:keepNext/>
        <w:keepLines w:val="0"/>
        <w:pageBreakBefore w:val="0"/>
        <w:widowControl w:val="0"/>
        <w:kinsoku w:val="0"/>
        <w:wordWrap/>
        <w:overflowPunct/>
        <w:topLinePunct w:val="0"/>
        <w:autoSpaceDE/>
        <w:autoSpaceDN w:val="0"/>
        <w:bidi w:val="0"/>
        <w:adjustRightInd/>
        <w:snapToGrid/>
        <w:spacing w:line="578" w:lineRule="exact"/>
        <w:ind w:firstLine="640" w:firstLineChars="200"/>
        <w:textAlignment w:val="auto"/>
        <w:rPr>
          <w:rFonts w:hint="eastAsia" w:hAnsi="仿宋_GB2312" w:cs="仿宋_GB2312"/>
          <w:color w:val="auto"/>
          <w:sz w:val="32"/>
          <w:szCs w:val="32"/>
          <w:shd w:val="clear" w:color="auto" w:fill="FFFFFF"/>
          <w:lang w:val="en-US" w:eastAsia="zh-CN"/>
        </w:rPr>
      </w:pPr>
      <w:r>
        <w:rPr>
          <w:rFonts w:hint="eastAsia" w:ascii="楷体_GB2312" w:hAnsi="楷体_GB2312" w:eastAsia="楷体_GB2312" w:cs="楷体_GB2312"/>
          <w:color w:val="auto"/>
          <w:sz w:val="32"/>
          <w:szCs w:val="32"/>
        </w:rPr>
        <w:t>2.依申请公开。</w:t>
      </w:r>
      <w:r>
        <w:rPr>
          <w:rFonts w:hint="eastAsia" w:hAnsi="仿宋_GB2312" w:cs="仿宋_GB2312"/>
          <w:color w:val="auto"/>
          <w:sz w:val="32"/>
          <w:szCs w:val="32"/>
          <w:shd w:val="clear" w:color="auto" w:fill="FFFFFF"/>
          <w:lang w:val="en-US" w:eastAsia="zh-CN"/>
        </w:rPr>
        <w:t xml:space="preserve">2022年，我局重新制作和发布了政府信息公开指南，畅通了政府信息公开的申请渠道，严格按照《中华人民共和国政府信息公开条例》有关要求，严格卡实依申请公开申请接收、登记、办理、审核、答复、归档等各环节，2022年收到依申请公开申请0件。 </w:t>
      </w:r>
    </w:p>
    <w:p>
      <w:pPr>
        <w:spacing w:line="560" w:lineRule="exact"/>
        <w:ind w:firstLine="640" w:firstLineChars="200"/>
        <w:rPr>
          <w:rFonts w:hint="eastAsia" w:ascii="仿宋_GB2312" w:hAnsi="Times New Roman" w:eastAsia="仿宋_GB2312" w:cs="Times New Roman"/>
          <w:color w:val="auto"/>
          <w:sz w:val="32"/>
          <w:szCs w:val="32"/>
        </w:rPr>
      </w:pPr>
      <w:r>
        <w:rPr>
          <w:rFonts w:hint="eastAsia" w:ascii="楷体_GB2312" w:hAnsi="楷体_GB2312" w:eastAsia="楷体_GB2312" w:cs="楷体_GB2312"/>
          <w:color w:val="auto"/>
          <w:sz w:val="32"/>
          <w:szCs w:val="32"/>
        </w:rPr>
        <w:t>3.政府信息管理。</w:t>
      </w:r>
      <w:r>
        <w:rPr>
          <w:rFonts w:hint="eastAsia" w:ascii="仿宋_GB2312" w:hAnsi="Times New Roman" w:eastAsia="仿宋_GB2312" w:cs="Times New Roman"/>
          <w:color w:val="auto"/>
          <w:sz w:val="32"/>
          <w:szCs w:val="32"/>
        </w:rPr>
        <w:t>严格遵守《中华人民共和国政府信息公开条例》有关要求，建立健全保密审查工作机制、信息发布审查登记制度、责任追究制度等工作机制，建立政府信息公开台账，有效确保信息公开工作的顺利开展</w:t>
      </w:r>
      <w:r>
        <w:rPr>
          <w:rFonts w:hint="eastAsia" w:hAnsi="Times New Roman" w:cs="Times New Roman"/>
          <w:color w:val="auto"/>
          <w:sz w:val="32"/>
          <w:szCs w:val="32"/>
          <w:lang w:eastAsia="zh-CN"/>
        </w:rPr>
        <w:t>。</w:t>
      </w:r>
      <w:r>
        <w:rPr>
          <w:rFonts w:hint="eastAsia" w:hAnsi="仿宋_GB2312" w:cs="仿宋_GB2312"/>
          <w:color w:val="auto"/>
          <w:sz w:val="32"/>
          <w:szCs w:val="32"/>
          <w:shd w:val="clear" w:color="auto" w:fill="FFFFFF"/>
          <w:lang w:val="en-US" w:eastAsia="zh-CN"/>
        </w:rPr>
        <w:t>对公开的信息进行了多次梳理和更新，编写并公开了我局信息主动公开基本目录（2022年版），</w:t>
      </w:r>
      <w:r>
        <w:rPr>
          <w:rFonts w:hint="eastAsia" w:ascii="仿宋_GB2312" w:hAnsi="Times New Roman" w:eastAsia="仿宋_GB2312" w:cs="Times New Roman"/>
          <w:color w:val="auto"/>
          <w:sz w:val="32"/>
          <w:szCs w:val="32"/>
        </w:rPr>
        <w:t>明确公开信息名称及信息更新周期等内容，以基层群众实际需求为导向及时优化、调整、完善和公开。</w:t>
      </w:r>
      <w:r>
        <w:rPr>
          <w:rFonts w:hint="eastAsia" w:hAnsi="仿宋_GB2312" w:cs="仿宋_GB2312"/>
          <w:color w:val="auto"/>
          <w:sz w:val="32"/>
          <w:szCs w:val="32"/>
          <w:shd w:val="clear" w:color="auto" w:fill="FFFFFF"/>
          <w:lang w:val="en-US" w:eastAsia="zh-CN"/>
        </w:rPr>
        <w:t>安排专人负责公开相关业务信息，由局办公室统筹协调，发布的信息先经科室内部审查过后，交由分管负责人核验，最后由市政府政务公开办公室审核发布，做到了三审发布。</w:t>
      </w:r>
    </w:p>
    <w:p>
      <w:pPr>
        <w:spacing w:line="560" w:lineRule="exact"/>
        <w:ind w:firstLine="640" w:firstLineChars="200"/>
        <w:rPr>
          <w:rFonts w:hint="eastAsia" w:ascii="仿宋_GB2312" w:eastAsia="仿宋_GB2312"/>
          <w:color w:val="auto"/>
          <w:sz w:val="32"/>
          <w:szCs w:val="32"/>
          <w:lang w:eastAsia="zh-CN"/>
        </w:rPr>
      </w:pPr>
      <w:r>
        <w:rPr>
          <w:rFonts w:hint="eastAsia" w:ascii="楷体_GB2312" w:hAnsi="楷体_GB2312" w:eastAsia="楷体_GB2312" w:cs="楷体_GB2312"/>
          <w:color w:val="auto"/>
          <w:sz w:val="32"/>
          <w:szCs w:val="32"/>
          <w:lang w:val="en-US" w:eastAsia="zh-CN"/>
        </w:rPr>
        <w:t>4.政府信息公开</w:t>
      </w:r>
      <w:r>
        <w:rPr>
          <w:rFonts w:hint="eastAsia" w:ascii="楷体_GB2312" w:hAnsi="楷体_GB2312" w:eastAsia="楷体_GB2312" w:cs="楷体_GB2312"/>
          <w:color w:val="auto"/>
          <w:sz w:val="32"/>
          <w:szCs w:val="32"/>
        </w:rPr>
        <w:t>平台建设</w:t>
      </w:r>
      <w:r>
        <w:rPr>
          <w:rFonts w:hint="eastAsia" w:ascii="楷体_GB2312" w:hAnsi="楷体_GB2312" w:eastAsia="楷体_GB2312" w:cs="楷体_GB2312"/>
          <w:color w:val="auto"/>
          <w:sz w:val="32"/>
          <w:szCs w:val="32"/>
          <w:lang w:eastAsia="zh-CN"/>
        </w:rPr>
        <w:t>。</w:t>
      </w:r>
      <w:r>
        <w:rPr>
          <w:rFonts w:hint="eastAsia" w:hAnsi="仿宋_GB2312" w:cs="仿宋_GB2312"/>
          <w:color w:val="auto"/>
          <w:sz w:val="32"/>
          <w:szCs w:val="32"/>
          <w:shd w:val="clear" w:color="auto" w:fill="FFFFFF"/>
          <w:lang w:val="en-US" w:eastAsia="zh-CN"/>
        </w:rPr>
        <w:t>我局积极推进政府信息公开形式的多样化，先后在医保服务大厅放置自主查询机1台，自助办理机4台；</w:t>
      </w:r>
      <w:r>
        <w:rPr>
          <w:rFonts w:hint="eastAsia" w:ascii="仿宋_GB2312" w:eastAsia="仿宋_GB2312"/>
          <w:color w:val="auto"/>
          <w:sz w:val="32"/>
          <w:szCs w:val="32"/>
        </w:rPr>
        <w:t>通过电视台开展专题政策宣传解读</w:t>
      </w:r>
      <w:r>
        <w:rPr>
          <w:rFonts w:hint="eastAsia"/>
          <w:color w:val="auto"/>
          <w:sz w:val="32"/>
          <w:szCs w:val="32"/>
          <w:lang w:val="en-US" w:eastAsia="zh-CN"/>
        </w:rPr>
        <w:t>4</w:t>
      </w:r>
      <w:r>
        <w:rPr>
          <w:rFonts w:hint="eastAsia" w:ascii="仿宋_GB2312" w:eastAsia="仿宋_GB2312"/>
          <w:color w:val="auto"/>
          <w:sz w:val="32"/>
          <w:szCs w:val="32"/>
        </w:rPr>
        <w:t>次</w:t>
      </w:r>
      <w:r>
        <w:rPr>
          <w:rFonts w:hint="eastAsia" w:ascii="仿宋_GB2312" w:eastAsia="仿宋_GB2312"/>
          <w:color w:val="auto"/>
          <w:sz w:val="32"/>
          <w:szCs w:val="32"/>
          <w:lang w:eastAsia="zh-CN"/>
        </w:rPr>
        <w:t>，</w:t>
      </w:r>
      <w:r>
        <w:rPr>
          <w:rFonts w:hint="eastAsia" w:ascii="仿宋_GB2312" w:eastAsia="仿宋_GB2312"/>
          <w:color w:val="auto"/>
          <w:sz w:val="32"/>
          <w:szCs w:val="32"/>
        </w:rPr>
        <w:t>充分利用微信平台、短信平台及时发布政策信息，规范</w:t>
      </w:r>
      <w:r>
        <w:rPr>
          <w:rFonts w:hint="eastAsia" w:ascii="仿宋_GB2312" w:eastAsia="仿宋_GB2312"/>
          <w:color w:val="auto"/>
          <w:sz w:val="32"/>
          <w:szCs w:val="32"/>
          <w:lang w:eastAsia="zh-CN"/>
        </w:rPr>
        <w:t>信息公开</w:t>
      </w:r>
      <w:r>
        <w:rPr>
          <w:rFonts w:hint="eastAsia" w:ascii="仿宋_GB2312" w:eastAsia="仿宋_GB2312"/>
          <w:color w:val="auto"/>
          <w:sz w:val="32"/>
          <w:szCs w:val="32"/>
        </w:rPr>
        <w:t>管理，设立政务公开专区及政务公开信息查阅点，方便群众及相关业务单位随时查阅</w:t>
      </w:r>
      <w:r>
        <w:rPr>
          <w:rFonts w:hint="eastAsia" w:ascii="仿宋_GB2312" w:eastAsia="仿宋_GB2312"/>
          <w:color w:val="auto"/>
          <w:sz w:val="32"/>
          <w:szCs w:val="32"/>
          <w:lang w:eastAsia="zh-CN"/>
        </w:rPr>
        <w:t>，</w:t>
      </w:r>
      <w:r>
        <w:rPr>
          <w:rFonts w:hint="eastAsia" w:ascii="仿宋_GB2312" w:eastAsia="仿宋_GB2312"/>
          <w:color w:val="auto"/>
          <w:sz w:val="32"/>
          <w:szCs w:val="32"/>
        </w:rPr>
        <w:t>推进信息公开形式多样化</w:t>
      </w:r>
      <w:r>
        <w:rPr>
          <w:rFonts w:hint="eastAsia" w:ascii="仿宋_GB2312" w:eastAsia="仿宋_GB2312"/>
          <w:color w:val="auto"/>
          <w:sz w:val="32"/>
          <w:szCs w:val="32"/>
          <w:lang w:eastAsia="zh-CN"/>
        </w:rPr>
        <w:t>。</w:t>
      </w:r>
    </w:p>
    <w:p>
      <w:pPr>
        <w:pStyle w:val="2"/>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drawing>
          <wp:inline distT="0" distB="0" distL="114300" distR="114300">
            <wp:extent cx="5608955" cy="3910965"/>
            <wp:effectExtent l="0" t="0" r="10795" b="13335"/>
            <wp:docPr id="7" name="图片 7" descr="898a405efe88c795166a033ad596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98a405efe88c795166a033ad596b4f"/>
                    <pic:cNvPicPr>
                      <a:picLocks noChangeAspect="1"/>
                    </pic:cNvPicPr>
                  </pic:nvPicPr>
                  <pic:blipFill>
                    <a:blip r:embed="rId9"/>
                    <a:stretch>
                      <a:fillRect/>
                    </a:stretch>
                  </pic:blipFill>
                  <pic:spPr>
                    <a:xfrm>
                      <a:off x="0" y="0"/>
                      <a:ext cx="5608955" cy="3910965"/>
                    </a:xfrm>
                    <a:prstGeom prst="rect">
                      <a:avLst/>
                    </a:prstGeom>
                  </pic:spPr>
                </pic:pic>
              </a:graphicData>
            </a:graphic>
          </wp:inline>
        </w:drawing>
      </w:r>
    </w:p>
    <w:p>
      <w:pPr>
        <w:pStyle w:val="2"/>
        <w:numPr>
          <w:ilvl w:val="0"/>
          <w:numId w:val="0"/>
        </w:numPr>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color w:val="auto"/>
          <w:kern w:val="2"/>
          <w:sz w:val="32"/>
          <w:szCs w:val="32"/>
          <w:lang w:val="en-US" w:eastAsia="zh-CN" w:bidi="ar-SA"/>
        </w:rPr>
        <w:t>5.监督保障。</w:t>
      </w:r>
      <w:r>
        <w:rPr>
          <w:rFonts w:hint="eastAsia" w:ascii="仿宋_GB2312" w:hAnsi="仿宋_GB2312" w:eastAsia="仿宋_GB2312" w:cs="仿宋_GB2312"/>
          <w:color w:val="auto"/>
          <w:sz w:val="32"/>
          <w:szCs w:val="32"/>
          <w:shd w:val="clear" w:color="auto" w:fill="FFFFFF"/>
          <w:lang w:val="en-US" w:eastAsia="zh-CN"/>
        </w:rPr>
        <w:t>成立了以主要领导为组长的政务公开工作领导小组</w:t>
      </w:r>
      <w:r>
        <w:rPr>
          <w:rFonts w:hint="eastAsia" w:ascii="仿宋_GB2312" w:hAnsi="仿宋_GB2312" w:cs="仿宋_GB2312"/>
          <w:color w:val="auto"/>
          <w:sz w:val="32"/>
          <w:szCs w:val="32"/>
          <w:shd w:val="clear" w:color="auto" w:fill="FFFFFF"/>
          <w:lang w:val="en-US" w:eastAsia="zh-CN"/>
        </w:rPr>
        <w:t>，制定了</w:t>
      </w:r>
      <w:r>
        <w:rPr>
          <w:rFonts w:hint="eastAsia" w:ascii="仿宋_GB2312" w:hAnsi="仿宋_GB2312" w:eastAsia="仿宋_GB2312" w:cs="仿宋_GB2312"/>
          <w:color w:val="auto"/>
          <w:sz w:val="32"/>
          <w:szCs w:val="32"/>
          <w:shd w:val="clear" w:color="auto" w:fill="FFFFFF"/>
          <w:lang w:val="en-US" w:eastAsia="zh-CN"/>
        </w:rPr>
        <w:t>202</w:t>
      </w:r>
      <w:r>
        <w:rPr>
          <w:rFonts w:hint="eastAsia" w:hAnsi="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lang w:val="en-US" w:eastAsia="zh-CN"/>
        </w:rPr>
        <w:t>年政务公开工作实施方案</w:t>
      </w:r>
      <w:r>
        <w:rPr>
          <w:rFonts w:hint="eastAsia" w:ascii="仿宋_GB2312" w:hAnsi="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val="en-US" w:eastAsia="zh-CN"/>
        </w:rPr>
        <w:t>进一步明</w:t>
      </w:r>
      <w:r>
        <w:rPr>
          <w:rFonts w:hint="eastAsia" w:ascii="仿宋_GB2312" w:hAnsi="仿宋_GB2312" w:cs="仿宋_GB2312"/>
          <w:color w:val="auto"/>
          <w:sz w:val="32"/>
          <w:szCs w:val="32"/>
          <w:shd w:val="clear" w:color="auto" w:fill="FFFFFF"/>
          <w:lang w:val="en-US" w:eastAsia="zh-CN"/>
        </w:rPr>
        <w:t>确了局属各单位和各科室的工作职责。</w:t>
      </w:r>
      <w:r>
        <w:rPr>
          <w:rFonts w:hint="eastAsia" w:hAnsi="仿宋_GB2312" w:cs="仿宋_GB2312"/>
          <w:color w:val="auto"/>
          <w:sz w:val="32"/>
          <w:szCs w:val="32"/>
          <w:shd w:val="clear" w:color="auto" w:fill="FFFFFF"/>
          <w:lang w:val="en-US" w:eastAsia="zh-CN"/>
        </w:rPr>
        <w:t>安排</w:t>
      </w:r>
      <w:r>
        <w:rPr>
          <w:rFonts w:hint="eastAsia" w:ascii="仿宋_GB2312" w:hAnsi="仿宋_GB2312" w:eastAsia="仿宋_GB2312" w:cs="仿宋_GB2312"/>
          <w:color w:val="auto"/>
          <w:sz w:val="32"/>
          <w:szCs w:val="32"/>
          <w:shd w:val="clear" w:color="auto" w:fill="FFFFFF"/>
          <w:lang w:val="en-US" w:eastAsia="zh-CN"/>
        </w:rPr>
        <w:t>专人担任政务</w:t>
      </w:r>
      <w:r>
        <w:rPr>
          <w:rFonts w:hint="eastAsia" w:ascii="仿宋_GB2312" w:hAnsi="仿宋_GB2312" w:cs="仿宋_GB2312"/>
          <w:color w:val="auto"/>
          <w:sz w:val="32"/>
          <w:szCs w:val="32"/>
          <w:shd w:val="clear" w:color="auto" w:fill="FFFFFF"/>
          <w:lang w:val="en-US" w:eastAsia="zh-CN"/>
        </w:rPr>
        <w:t>公开</w:t>
      </w:r>
      <w:r>
        <w:rPr>
          <w:rFonts w:hint="eastAsia" w:ascii="仿宋_GB2312" w:hAnsi="仿宋_GB2312" w:eastAsia="仿宋_GB2312" w:cs="仿宋_GB2312"/>
          <w:color w:val="auto"/>
          <w:sz w:val="32"/>
          <w:szCs w:val="32"/>
          <w:shd w:val="clear" w:color="auto" w:fill="FFFFFF"/>
          <w:lang w:val="en-US" w:eastAsia="zh-CN"/>
        </w:rPr>
        <w:t>管理员，负责政务公开网站信息的日常维护和答复等工作，并定期结合我局政务公开情况进行业务培训，健全工作机制，夯实工作基础，不断提升政务公开标准化、规范化水平</w:t>
      </w:r>
      <w:r>
        <w:rPr>
          <w:rFonts w:hint="eastAsia" w:hAnsi="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val="en-US" w:eastAsia="zh-CN"/>
        </w:rPr>
        <w:t>推动全市医保系统政务公开工作再上新台阶。</w:t>
      </w:r>
    </w:p>
    <w:p>
      <w:pPr>
        <w:keepNext/>
        <w:keepLines w:val="0"/>
        <w:pageBreakBefore w:val="0"/>
        <w:widowControl w:val="0"/>
        <w:numPr>
          <w:ilvl w:val="0"/>
          <w:numId w:val="0"/>
        </w:numPr>
        <w:kinsoku/>
        <w:wordWrap/>
        <w:overflowPunct/>
        <w:topLinePunct w:val="0"/>
        <w:autoSpaceDE/>
        <w:autoSpaceDN/>
        <w:bidi w:val="0"/>
        <w:adjustRightInd/>
        <w:snapToGrid/>
        <w:spacing w:line="578" w:lineRule="exact"/>
        <w:ind w:left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二、主动公开政府信息情况</w:t>
      </w:r>
    </w:p>
    <w:tbl>
      <w:tblPr>
        <w:tblStyle w:val="7"/>
        <w:tblW w:w="9220" w:type="dxa"/>
        <w:tblInd w:w="-126" w:type="dxa"/>
        <w:tblLayout w:type="fixed"/>
        <w:tblCellMar>
          <w:top w:w="0" w:type="dxa"/>
          <w:left w:w="108" w:type="dxa"/>
          <w:bottom w:w="0" w:type="dxa"/>
          <w:right w:w="108" w:type="dxa"/>
        </w:tblCellMar>
      </w:tblPr>
      <w:tblGrid>
        <w:gridCol w:w="2401"/>
        <w:gridCol w:w="2272"/>
        <w:gridCol w:w="2272"/>
        <w:gridCol w:w="2275"/>
      </w:tblGrid>
      <w:tr>
        <w:tblPrEx>
          <w:tblCellMar>
            <w:top w:w="0" w:type="dxa"/>
            <w:left w:w="108" w:type="dxa"/>
            <w:bottom w:w="0" w:type="dxa"/>
            <w:right w:w="108" w:type="dxa"/>
          </w:tblCellMar>
        </w:tblPrEx>
        <w:trPr>
          <w:trHeight w:val="90" w:hRule="atLeast"/>
        </w:trPr>
        <w:tc>
          <w:tcPr>
            <w:tcW w:w="922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第二十条第（一）项</w:t>
            </w:r>
          </w:p>
        </w:tc>
      </w:tr>
      <w:tr>
        <w:tblPrEx>
          <w:tblCellMar>
            <w:top w:w="0" w:type="dxa"/>
            <w:left w:w="108" w:type="dxa"/>
            <w:bottom w:w="0" w:type="dxa"/>
            <w:right w:w="108" w:type="dxa"/>
          </w:tblCellMar>
        </w:tblPrEx>
        <w:trPr>
          <w:trHeight w:val="90" w:hRule="atLeast"/>
        </w:trPr>
        <w:tc>
          <w:tcPr>
            <w:tcW w:w="2401" w:type="dxa"/>
            <w:tcBorders>
              <w:top w:val="nil"/>
              <w:left w:val="single" w:color="auto" w:sz="8" w:space="0"/>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2272"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本年制发件数</w:t>
            </w:r>
          </w:p>
        </w:tc>
        <w:tc>
          <w:tcPr>
            <w:tcW w:w="2272"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本年废止件数</w:t>
            </w:r>
          </w:p>
        </w:tc>
        <w:tc>
          <w:tcPr>
            <w:tcW w:w="2275"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现行有效件数</w:t>
            </w:r>
          </w:p>
        </w:tc>
      </w:tr>
      <w:tr>
        <w:tblPrEx>
          <w:tblCellMar>
            <w:top w:w="0" w:type="dxa"/>
            <w:left w:w="108" w:type="dxa"/>
            <w:bottom w:w="0" w:type="dxa"/>
            <w:right w:w="108" w:type="dxa"/>
          </w:tblCellMar>
        </w:tblPrEx>
        <w:trPr>
          <w:trHeight w:val="90" w:hRule="atLeast"/>
        </w:trPr>
        <w:tc>
          <w:tcPr>
            <w:tcW w:w="2401" w:type="dxa"/>
            <w:tcBorders>
              <w:top w:val="nil"/>
              <w:left w:val="single" w:color="auto" w:sz="8" w:space="0"/>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规章</w:t>
            </w:r>
          </w:p>
        </w:tc>
        <w:tc>
          <w:tcPr>
            <w:tcW w:w="2272"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宋体" w:eastAsia="仿宋_GB2312" w:cs="宋体"/>
                <w:color w:val="auto"/>
                <w:kern w:val="0"/>
                <w:szCs w:val="21"/>
                <w:lang w:val="en-US" w:eastAsia="zh-CN"/>
              </w:rPr>
            </w:pPr>
            <w:r>
              <w:rPr>
                <w:rFonts w:hint="eastAsia" w:hAnsi="宋体" w:cs="宋体"/>
                <w:color w:val="auto"/>
                <w:kern w:val="0"/>
                <w:szCs w:val="21"/>
                <w:lang w:val="en-US" w:eastAsia="zh-CN"/>
              </w:rPr>
              <w:t>0</w:t>
            </w:r>
          </w:p>
        </w:tc>
        <w:tc>
          <w:tcPr>
            <w:tcW w:w="2272"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宋体" w:eastAsia="仿宋_GB2312" w:cs="宋体"/>
                <w:color w:val="auto"/>
                <w:kern w:val="0"/>
                <w:szCs w:val="21"/>
                <w:lang w:val="en-US" w:eastAsia="zh-CN"/>
              </w:rPr>
            </w:pPr>
            <w:r>
              <w:rPr>
                <w:rFonts w:hint="eastAsia" w:hAnsi="宋体" w:cs="宋体"/>
                <w:color w:val="auto"/>
                <w:kern w:val="0"/>
                <w:szCs w:val="21"/>
                <w:lang w:val="en-US" w:eastAsia="zh-CN"/>
              </w:rPr>
              <w:t>0</w:t>
            </w:r>
          </w:p>
        </w:tc>
        <w:tc>
          <w:tcPr>
            <w:tcW w:w="2275"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Calibri" w:eastAsia="仿宋_GB2312" w:cs="Calibri"/>
                <w:color w:val="auto"/>
                <w:kern w:val="0"/>
                <w:szCs w:val="21"/>
                <w:lang w:val="en-US" w:eastAsia="zh-CN"/>
              </w:rPr>
            </w:pPr>
            <w:r>
              <w:rPr>
                <w:rFonts w:hint="eastAsia" w:hAnsi="Calibri" w:cs="Calibri"/>
                <w:color w:val="auto"/>
                <w:kern w:val="0"/>
                <w:szCs w:val="21"/>
                <w:lang w:val="en-US" w:eastAsia="zh-CN"/>
              </w:rPr>
              <w:t>0</w:t>
            </w:r>
          </w:p>
        </w:tc>
      </w:tr>
      <w:tr>
        <w:tblPrEx>
          <w:tblCellMar>
            <w:top w:w="0" w:type="dxa"/>
            <w:left w:w="108" w:type="dxa"/>
            <w:bottom w:w="0" w:type="dxa"/>
            <w:right w:w="108" w:type="dxa"/>
          </w:tblCellMar>
        </w:tblPrEx>
        <w:trPr>
          <w:trHeight w:val="90" w:hRule="atLeast"/>
        </w:trPr>
        <w:tc>
          <w:tcPr>
            <w:tcW w:w="2401" w:type="dxa"/>
            <w:tcBorders>
              <w:top w:val="nil"/>
              <w:left w:val="single" w:color="auto" w:sz="8" w:space="0"/>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行政规范性文件</w:t>
            </w:r>
          </w:p>
        </w:tc>
        <w:tc>
          <w:tcPr>
            <w:tcW w:w="2272"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宋体" w:eastAsia="仿宋_GB2312" w:cs="宋体"/>
                <w:color w:val="auto"/>
                <w:kern w:val="0"/>
                <w:szCs w:val="21"/>
                <w:lang w:val="en-US" w:eastAsia="zh-CN"/>
              </w:rPr>
            </w:pPr>
            <w:r>
              <w:rPr>
                <w:rFonts w:hint="eastAsia" w:hAnsi="宋体" w:cs="宋体"/>
                <w:color w:val="auto"/>
                <w:kern w:val="0"/>
                <w:szCs w:val="21"/>
                <w:lang w:val="en-US" w:eastAsia="zh-CN"/>
              </w:rPr>
              <w:t>0</w:t>
            </w:r>
          </w:p>
        </w:tc>
        <w:tc>
          <w:tcPr>
            <w:tcW w:w="2272"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宋体" w:eastAsia="仿宋_GB2312" w:cs="宋体"/>
                <w:color w:val="auto"/>
                <w:kern w:val="0"/>
                <w:szCs w:val="21"/>
                <w:lang w:val="en-US" w:eastAsia="zh-CN"/>
              </w:rPr>
            </w:pPr>
            <w:r>
              <w:rPr>
                <w:rFonts w:hint="eastAsia" w:hAnsi="宋体" w:cs="宋体"/>
                <w:color w:val="auto"/>
                <w:kern w:val="0"/>
                <w:szCs w:val="21"/>
                <w:lang w:val="en-US" w:eastAsia="zh-CN"/>
              </w:rPr>
              <w:t>0</w:t>
            </w:r>
          </w:p>
        </w:tc>
        <w:tc>
          <w:tcPr>
            <w:tcW w:w="2275" w:type="dxa"/>
            <w:tcBorders>
              <w:top w:val="nil"/>
              <w:left w:val="nil"/>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Calibri" w:eastAsia="仿宋_GB2312" w:cs="Calibri"/>
                <w:color w:val="auto"/>
                <w:kern w:val="0"/>
                <w:szCs w:val="21"/>
                <w:lang w:val="en-US" w:eastAsia="zh-CN"/>
              </w:rPr>
            </w:pPr>
            <w:r>
              <w:rPr>
                <w:rFonts w:hint="eastAsia" w:hAnsi="Calibri" w:cs="Calibri"/>
                <w:color w:val="auto"/>
                <w:kern w:val="0"/>
                <w:szCs w:val="21"/>
                <w:lang w:val="en-US" w:eastAsia="zh-CN"/>
              </w:rPr>
              <w:t>0</w:t>
            </w:r>
          </w:p>
        </w:tc>
      </w:tr>
      <w:tr>
        <w:tblPrEx>
          <w:tblCellMar>
            <w:top w:w="0" w:type="dxa"/>
            <w:left w:w="108" w:type="dxa"/>
            <w:bottom w:w="0" w:type="dxa"/>
            <w:right w:w="108" w:type="dxa"/>
          </w:tblCellMar>
        </w:tblPrEx>
        <w:trPr>
          <w:trHeight w:val="90" w:hRule="atLeast"/>
        </w:trPr>
        <w:tc>
          <w:tcPr>
            <w:tcW w:w="922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第二十条第（五）项</w:t>
            </w:r>
          </w:p>
        </w:tc>
      </w:tr>
      <w:tr>
        <w:tblPrEx>
          <w:tblCellMar>
            <w:top w:w="0" w:type="dxa"/>
            <w:left w:w="108" w:type="dxa"/>
            <w:bottom w:w="0" w:type="dxa"/>
            <w:right w:w="108" w:type="dxa"/>
          </w:tblCellMar>
        </w:tblPrEx>
        <w:trPr>
          <w:trHeight w:val="90" w:hRule="atLeast"/>
        </w:trPr>
        <w:tc>
          <w:tcPr>
            <w:tcW w:w="2401" w:type="dxa"/>
            <w:tcBorders>
              <w:top w:val="nil"/>
              <w:left w:val="single" w:color="auto" w:sz="8" w:space="0"/>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819" w:type="dxa"/>
            <w:gridSpan w:val="3"/>
            <w:tcBorders>
              <w:top w:val="single" w:color="auto" w:sz="8" w:space="0"/>
              <w:left w:val="nil"/>
              <w:bottom w:val="single" w:color="auto" w:sz="8" w:space="0"/>
              <w:right w:val="single" w:color="000000"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本年处理决定数量</w:t>
            </w:r>
          </w:p>
        </w:tc>
      </w:tr>
      <w:tr>
        <w:tblPrEx>
          <w:tblCellMar>
            <w:top w:w="0" w:type="dxa"/>
            <w:left w:w="108" w:type="dxa"/>
            <w:bottom w:w="0" w:type="dxa"/>
            <w:right w:w="108" w:type="dxa"/>
          </w:tblCellMar>
        </w:tblPrEx>
        <w:trPr>
          <w:trHeight w:val="90" w:hRule="atLeast"/>
        </w:trPr>
        <w:tc>
          <w:tcPr>
            <w:tcW w:w="2401" w:type="dxa"/>
            <w:tcBorders>
              <w:top w:val="nil"/>
              <w:left w:val="single" w:color="auto" w:sz="8" w:space="0"/>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行政许可</w:t>
            </w:r>
          </w:p>
        </w:tc>
        <w:tc>
          <w:tcPr>
            <w:tcW w:w="6819" w:type="dxa"/>
            <w:gridSpan w:val="3"/>
            <w:tcBorders>
              <w:top w:val="single" w:color="auto" w:sz="8" w:space="0"/>
              <w:left w:val="nil"/>
              <w:bottom w:val="single" w:color="auto" w:sz="8" w:space="0"/>
              <w:right w:val="single" w:color="000000"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Calibri" w:eastAsia="仿宋_GB2312" w:cs="Calibri"/>
                <w:color w:val="auto"/>
                <w:kern w:val="0"/>
                <w:szCs w:val="21"/>
                <w:lang w:val="en-US" w:eastAsia="zh-CN"/>
              </w:rPr>
            </w:pPr>
            <w:r>
              <w:rPr>
                <w:rFonts w:hint="eastAsia" w:hAnsi="Calibri" w:cs="Calibri"/>
                <w:color w:val="auto"/>
                <w:kern w:val="0"/>
                <w:szCs w:val="21"/>
                <w:lang w:val="en-US" w:eastAsia="zh-CN"/>
              </w:rPr>
              <w:t>0</w:t>
            </w:r>
          </w:p>
        </w:tc>
      </w:tr>
      <w:tr>
        <w:tblPrEx>
          <w:tblCellMar>
            <w:top w:w="0" w:type="dxa"/>
            <w:left w:w="108" w:type="dxa"/>
            <w:bottom w:w="0" w:type="dxa"/>
            <w:right w:w="108" w:type="dxa"/>
          </w:tblCellMar>
        </w:tblPrEx>
        <w:trPr>
          <w:trHeight w:val="90" w:hRule="atLeast"/>
        </w:trPr>
        <w:tc>
          <w:tcPr>
            <w:tcW w:w="922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第二十条第（六）项</w:t>
            </w:r>
          </w:p>
        </w:tc>
      </w:tr>
      <w:tr>
        <w:tblPrEx>
          <w:tblCellMar>
            <w:top w:w="0" w:type="dxa"/>
            <w:left w:w="108" w:type="dxa"/>
            <w:bottom w:w="0" w:type="dxa"/>
            <w:right w:w="108" w:type="dxa"/>
          </w:tblCellMar>
        </w:tblPrEx>
        <w:trPr>
          <w:trHeight w:val="90" w:hRule="atLeast"/>
        </w:trPr>
        <w:tc>
          <w:tcPr>
            <w:tcW w:w="2401" w:type="dxa"/>
            <w:tcBorders>
              <w:top w:val="nil"/>
              <w:left w:val="single" w:color="auto" w:sz="8" w:space="0"/>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819" w:type="dxa"/>
            <w:gridSpan w:val="3"/>
            <w:tcBorders>
              <w:top w:val="single" w:color="auto" w:sz="8" w:space="0"/>
              <w:left w:val="nil"/>
              <w:bottom w:val="single" w:color="auto" w:sz="8" w:space="0"/>
              <w:right w:val="single" w:color="000000"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本年处理决定数量</w:t>
            </w:r>
          </w:p>
        </w:tc>
      </w:tr>
      <w:tr>
        <w:tblPrEx>
          <w:tblCellMar>
            <w:top w:w="0" w:type="dxa"/>
            <w:left w:w="108" w:type="dxa"/>
            <w:bottom w:w="0" w:type="dxa"/>
            <w:right w:w="108" w:type="dxa"/>
          </w:tblCellMar>
        </w:tblPrEx>
        <w:trPr>
          <w:trHeight w:val="90" w:hRule="atLeast"/>
        </w:trPr>
        <w:tc>
          <w:tcPr>
            <w:tcW w:w="2401" w:type="dxa"/>
            <w:tcBorders>
              <w:top w:val="nil"/>
              <w:left w:val="single" w:color="auto" w:sz="8" w:space="0"/>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行政处罚</w:t>
            </w:r>
          </w:p>
        </w:tc>
        <w:tc>
          <w:tcPr>
            <w:tcW w:w="6819" w:type="dxa"/>
            <w:gridSpan w:val="3"/>
            <w:tcBorders>
              <w:top w:val="single" w:color="auto" w:sz="8" w:space="0"/>
              <w:left w:val="nil"/>
              <w:bottom w:val="single" w:color="auto" w:sz="8" w:space="0"/>
              <w:right w:val="single" w:color="000000"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default" w:ascii="仿宋_GB2312" w:hAnsi="宋体" w:eastAsia="仿宋_GB2312" w:cs="宋体"/>
                <w:color w:val="auto"/>
                <w:kern w:val="0"/>
                <w:szCs w:val="21"/>
                <w:lang w:val="en-US" w:eastAsia="zh-CN"/>
              </w:rPr>
            </w:pPr>
            <w:r>
              <w:rPr>
                <w:rFonts w:hint="eastAsia" w:hAnsi="宋体" w:cs="宋体"/>
                <w:color w:val="auto"/>
                <w:kern w:val="0"/>
                <w:szCs w:val="21"/>
                <w:lang w:val="en-US" w:eastAsia="zh-CN"/>
              </w:rPr>
              <w:t>2</w:t>
            </w:r>
          </w:p>
        </w:tc>
      </w:tr>
      <w:tr>
        <w:tblPrEx>
          <w:tblCellMar>
            <w:top w:w="0" w:type="dxa"/>
            <w:left w:w="108" w:type="dxa"/>
            <w:bottom w:w="0" w:type="dxa"/>
            <w:right w:w="108" w:type="dxa"/>
          </w:tblCellMar>
        </w:tblPrEx>
        <w:trPr>
          <w:trHeight w:val="90" w:hRule="atLeast"/>
        </w:trPr>
        <w:tc>
          <w:tcPr>
            <w:tcW w:w="2401" w:type="dxa"/>
            <w:tcBorders>
              <w:top w:val="nil"/>
              <w:left w:val="single" w:color="auto" w:sz="8" w:space="0"/>
              <w:bottom w:val="single" w:color="auto" w:sz="8" w:space="0"/>
              <w:right w:val="single" w:color="auto"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行政强制</w:t>
            </w:r>
          </w:p>
        </w:tc>
        <w:tc>
          <w:tcPr>
            <w:tcW w:w="6819" w:type="dxa"/>
            <w:gridSpan w:val="3"/>
            <w:tcBorders>
              <w:top w:val="single" w:color="auto" w:sz="8" w:space="0"/>
              <w:left w:val="nil"/>
              <w:bottom w:val="single" w:color="auto" w:sz="8" w:space="0"/>
              <w:right w:val="single" w:color="000000" w:sz="8"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宋体" w:eastAsia="仿宋_GB2312" w:cs="宋体"/>
                <w:color w:val="auto"/>
                <w:kern w:val="0"/>
                <w:szCs w:val="21"/>
                <w:lang w:val="en-US" w:eastAsia="zh-CN"/>
              </w:rPr>
            </w:pPr>
            <w:r>
              <w:rPr>
                <w:rFonts w:hint="eastAsia" w:hAnsi="宋体" w:cs="宋体"/>
                <w:color w:val="auto"/>
                <w:kern w:val="0"/>
                <w:szCs w:val="21"/>
                <w:lang w:val="en-US" w:eastAsia="zh-CN"/>
              </w:rPr>
              <w:t>0</w:t>
            </w:r>
          </w:p>
        </w:tc>
      </w:tr>
      <w:tr>
        <w:tblPrEx>
          <w:tblCellMar>
            <w:top w:w="0" w:type="dxa"/>
            <w:left w:w="108" w:type="dxa"/>
            <w:bottom w:w="0" w:type="dxa"/>
            <w:right w:w="108" w:type="dxa"/>
          </w:tblCellMar>
        </w:tblPrEx>
        <w:trPr>
          <w:trHeight w:val="90" w:hRule="atLeast"/>
        </w:trPr>
        <w:tc>
          <w:tcPr>
            <w:tcW w:w="9220" w:type="dxa"/>
            <w:gridSpan w:val="4"/>
            <w:tcBorders>
              <w:top w:val="single" w:color="auto" w:sz="8" w:space="0"/>
              <w:left w:val="single" w:color="auto" w:sz="8" w:space="0"/>
              <w:bottom w:val="single" w:color="auto" w:sz="4" w:space="0"/>
              <w:right w:val="single" w:color="000000" w:sz="8" w:space="0"/>
            </w:tcBorders>
            <w:shd w:val="clear" w:color="000000" w:fill="C6D9F1"/>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第二十条第（八）项</w:t>
            </w:r>
          </w:p>
        </w:tc>
      </w:tr>
      <w:tr>
        <w:tblPrEx>
          <w:tblCellMar>
            <w:top w:w="0" w:type="dxa"/>
            <w:left w:w="108" w:type="dxa"/>
            <w:bottom w:w="0" w:type="dxa"/>
            <w:right w:w="108" w:type="dxa"/>
          </w:tblCellMar>
        </w:tblPrEx>
        <w:trPr>
          <w:trHeight w:val="90" w:hRule="atLeast"/>
        </w:trPr>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8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本年收费金额（单位：万元）</w:t>
            </w:r>
          </w:p>
        </w:tc>
      </w:tr>
      <w:tr>
        <w:tblPrEx>
          <w:tblCellMar>
            <w:top w:w="0" w:type="dxa"/>
            <w:left w:w="108" w:type="dxa"/>
            <w:bottom w:w="0" w:type="dxa"/>
            <w:right w:w="108" w:type="dxa"/>
          </w:tblCellMar>
        </w:tblPrEx>
        <w:trPr>
          <w:trHeight w:val="90" w:hRule="atLeast"/>
        </w:trPr>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 w:val="30"/>
                <w:szCs w:val="30"/>
              </w:rPr>
              <w:t>行政事业性收费</w:t>
            </w:r>
          </w:p>
        </w:tc>
        <w:tc>
          <w:tcPr>
            <w:tcW w:w="68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Calibri" w:eastAsia="仿宋_GB2312" w:cs="Calibri"/>
                <w:color w:val="auto"/>
                <w:kern w:val="0"/>
                <w:szCs w:val="21"/>
                <w:lang w:val="en-US" w:eastAsia="zh-CN"/>
              </w:rPr>
            </w:pPr>
            <w:r>
              <w:rPr>
                <w:rFonts w:hint="eastAsia" w:hAnsi="Calibri" w:cs="Calibri"/>
                <w:color w:val="auto"/>
                <w:kern w:val="0"/>
                <w:szCs w:val="21"/>
                <w:lang w:val="en-US" w:eastAsia="zh-CN"/>
              </w:rPr>
              <w:t>0</w:t>
            </w:r>
          </w:p>
        </w:tc>
      </w:tr>
    </w:tbl>
    <w:p>
      <w:pPr>
        <w:keepNext/>
        <w:keepLines w:val="0"/>
        <w:pageBreakBefore w:val="0"/>
        <w:kinsoku/>
        <w:wordWrap/>
        <w:overflowPunct/>
        <w:topLinePunct w:val="0"/>
        <w:autoSpaceDE/>
        <w:autoSpaceDN/>
        <w:bidi w:val="0"/>
        <w:adjustRightInd/>
        <w:snapToGrid/>
        <w:jc w:val="both"/>
        <w:textAlignment w:val="auto"/>
        <w:rPr>
          <w:rFonts w:hint="eastAsia" w:ascii="黑体" w:hAnsi="黑体" w:eastAsia="黑体" w:cs="黑体"/>
          <w:color w:val="auto"/>
          <w:sz w:val="32"/>
          <w:szCs w:val="32"/>
        </w:rPr>
      </w:pPr>
    </w:p>
    <w:p>
      <w:pPr>
        <w:keepNext/>
        <w:keepLines w:val="0"/>
        <w:pageBreakBefore w:val="0"/>
        <w:kinsoku/>
        <w:wordWrap/>
        <w:overflowPunct/>
        <w:topLinePunct w:val="0"/>
        <w:autoSpaceDE/>
        <w:autoSpaceDN/>
        <w:bidi w:val="0"/>
        <w:adjustRightInd/>
        <w:snapToGrid/>
        <w:jc w:val="both"/>
        <w:textAlignment w:val="auto"/>
        <w:rPr>
          <w:rFonts w:hint="eastAsia" w:ascii="黑体" w:hAnsi="黑体" w:eastAsia="黑体" w:cs="黑体"/>
          <w:color w:val="auto"/>
          <w:sz w:val="32"/>
          <w:szCs w:val="32"/>
        </w:rPr>
      </w:pPr>
    </w:p>
    <w:p>
      <w:pPr>
        <w:keepNext/>
        <w:keepLines w:val="0"/>
        <w:pageBreakBefore w:val="0"/>
        <w:kinsoku/>
        <w:wordWrap/>
        <w:overflowPunct/>
        <w:topLinePunct w:val="0"/>
        <w:autoSpaceDE/>
        <w:autoSpaceDN/>
        <w:bidi w:val="0"/>
        <w:adjustRightInd/>
        <w:snapToGrid/>
        <w:jc w:val="both"/>
        <w:textAlignment w:val="auto"/>
        <w:rPr>
          <w:rFonts w:hint="eastAsia" w:ascii="黑体" w:hAnsi="黑体" w:eastAsia="黑体" w:cs="黑体"/>
          <w:color w:val="auto"/>
          <w:sz w:val="32"/>
          <w:szCs w:val="32"/>
        </w:rPr>
      </w:pPr>
    </w:p>
    <w:p>
      <w:pPr>
        <w:keepNext/>
        <w:keepLines w:val="0"/>
        <w:pageBreakBefore w:val="0"/>
        <w:kinsoku/>
        <w:wordWrap/>
        <w:overflowPunct/>
        <w:topLinePunct w:val="0"/>
        <w:autoSpaceDE/>
        <w:autoSpaceDN/>
        <w:bidi w:val="0"/>
        <w:adjustRightInd/>
        <w:snapToGrid/>
        <w:jc w:val="both"/>
        <w:textAlignment w:val="auto"/>
        <w:rPr>
          <w:rFonts w:hint="eastAsia" w:ascii="黑体" w:hAnsi="黑体" w:eastAsia="黑体" w:cs="黑体"/>
          <w:color w:val="auto"/>
          <w:sz w:val="32"/>
          <w:szCs w:val="32"/>
        </w:rPr>
      </w:pPr>
    </w:p>
    <w:p>
      <w:pPr>
        <w:keepNext/>
        <w:keepLines w:val="0"/>
        <w:pageBreakBefore w:val="0"/>
        <w:kinsoku/>
        <w:wordWrap/>
        <w:overflowPunct/>
        <w:topLinePunct w:val="0"/>
        <w:autoSpaceDE/>
        <w:autoSpaceDN/>
        <w:bidi w:val="0"/>
        <w:adjustRightInd/>
        <w:snapToGrid/>
        <w:jc w:val="both"/>
        <w:textAlignment w:val="auto"/>
        <w:rPr>
          <w:rFonts w:hint="eastAsia" w:ascii="黑体" w:hAnsi="黑体" w:eastAsia="黑体" w:cs="黑体"/>
          <w:color w:val="auto"/>
          <w:sz w:val="32"/>
          <w:szCs w:val="32"/>
        </w:rPr>
      </w:pPr>
    </w:p>
    <w:p>
      <w:pPr>
        <w:keepNext/>
        <w:keepLines w:val="0"/>
        <w:pageBreakBefore w:val="0"/>
        <w:kinsoku/>
        <w:wordWrap/>
        <w:overflowPunct/>
        <w:topLinePunct w:val="0"/>
        <w:autoSpaceDE/>
        <w:autoSpaceDN/>
        <w:bidi w:val="0"/>
        <w:adjustRightInd/>
        <w:snapToGrid/>
        <w:jc w:val="both"/>
        <w:textAlignment w:val="auto"/>
        <w:rPr>
          <w:rFonts w:hint="eastAsia" w:ascii="黑体" w:hAnsi="黑体" w:eastAsia="黑体" w:cs="黑体"/>
          <w:color w:val="auto"/>
          <w:sz w:val="32"/>
          <w:szCs w:val="32"/>
        </w:rPr>
      </w:pPr>
    </w:p>
    <w:p>
      <w:pPr>
        <w:keepNext/>
        <w:keepLines w:val="0"/>
        <w:pageBreakBefore w:val="0"/>
        <w:kinsoku/>
        <w:wordWrap/>
        <w:overflowPunct/>
        <w:topLinePunct w:val="0"/>
        <w:autoSpaceDE/>
        <w:autoSpaceDN/>
        <w:bidi w:val="0"/>
        <w:adjustRightInd/>
        <w:snapToGrid/>
        <w:jc w:val="both"/>
        <w:textAlignment w:val="auto"/>
        <w:rPr>
          <w:rFonts w:hint="eastAsia" w:ascii="黑体" w:hAnsi="黑体" w:eastAsia="黑体" w:cs="黑体"/>
          <w:color w:val="auto"/>
          <w:sz w:val="32"/>
          <w:szCs w:val="32"/>
        </w:rPr>
      </w:pPr>
    </w:p>
    <w:p>
      <w:pPr>
        <w:keepNext/>
        <w:keepLines w:val="0"/>
        <w:pageBreakBefore w:val="0"/>
        <w:kinsoku/>
        <w:wordWrap/>
        <w:overflowPunct/>
        <w:topLinePunct w:val="0"/>
        <w:autoSpaceDE/>
        <w:autoSpaceDN/>
        <w:bidi w:val="0"/>
        <w:adjustRightInd/>
        <w:snapToGrid/>
        <w:jc w:val="both"/>
        <w:textAlignment w:val="auto"/>
        <w:rPr>
          <w:rFonts w:ascii="仿宋_GB2312" w:eastAsia="仿宋_GB2312"/>
          <w:color w:val="auto"/>
          <w:sz w:val="32"/>
          <w:szCs w:val="32"/>
        </w:rPr>
      </w:pPr>
      <w:r>
        <w:rPr>
          <w:rFonts w:hint="eastAsia" w:ascii="黑体" w:hAnsi="黑体" w:eastAsia="黑体" w:cs="黑体"/>
          <w:color w:val="auto"/>
          <w:sz w:val="32"/>
          <w:szCs w:val="32"/>
        </w:rPr>
        <w:t>三、收到和处理政府信息公开申请情况</w:t>
      </w:r>
    </w:p>
    <w:tbl>
      <w:tblPr>
        <w:tblStyle w:val="7"/>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992"/>
        <w:gridCol w:w="3522"/>
        <w:gridCol w:w="992"/>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4930" w:type="dxa"/>
            <w:gridSpan w:val="3"/>
            <w:vMerge w:val="restart"/>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仿宋_GB2312" w:hAnsi="Times New Roman" w:eastAsia="仿宋_GB2312"/>
                <w:color w:val="auto"/>
                <w:sz w:val="24"/>
                <w:szCs w:val="24"/>
              </w:rPr>
            </w:pPr>
            <w:r>
              <w:rPr>
                <w:rFonts w:hint="eastAsia" w:ascii="楷体_GB2312" w:hAnsi="黑体" w:eastAsia="楷体_GB2312"/>
                <w:color w:val="auto"/>
                <w:kern w:val="0"/>
                <w:sz w:val="24"/>
                <w:szCs w:val="24"/>
              </w:rPr>
              <w:t>（本列数据的勾稽关系为：第一项加第二项之和，等于第三项加第四项之和）</w:t>
            </w:r>
          </w:p>
        </w:tc>
        <w:tc>
          <w:tcPr>
            <w:tcW w:w="4983" w:type="dxa"/>
            <w:gridSpan w:val="7"/>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ascii="黑体" w:hAnsi="黑体" w:eastAsia="黑体"/>
                <w:color w:val="auto"/>
                <w:sz w:val="24"/>
                <w:szCs w:val="24"/>
              </w:rPr>
            </w:pPr>
            <w:r>
              <w:rPr>
                <w:rFonts w:hint="eastAsia" w:ascii="黑体" w:hAnsi="黑体" w:eastAsia="黑体"/>
                <w:color w:val="auto"/>
                <w:kern w:val="0"/>
                <w:sz w:val="24"/>
                <w:szCs w:val="24"/>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930" w:type="dxa"/>
            <w:gridSpan w:val="3"/>
            <w:vMerge w:val="continue"/>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jc w:val="center"/>
              <w:textAlignment w:val="auto"/>
              <w:rPr>
                <w:rFonts w:ascii="仿宋_GB2312" w:hAnsi="Times New Roman" w:eastAsia="仿宋_GB2312"/>
                <w:color w:val="auto"/>
                <w:sz w:val="24"/>
                <w:szCs w:val="24"/>
              </w:rPr>
            </w:pPr>
          </w:p>
        </w:tc>
        <w:tc>
          <w:tcPr>
            <w:tcW w:w="992" w:type="dxa"/>
            <w:vMerge w:val="restart"/>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auto"/>
                <w:sz w:val="24"/>
                <w:szCs w:val="24"/>
              </w:rPr>
            </w:pPr>
            <w:r>
              <w:rPr>
                <w:rFonts w:hint="eastAsia" w:ascii="黑体" w:hAnsi="黑体" w:eastAsia="黑体"/>
                <w:color w:val="auto"/>
                <w:kern w:val="0"/>
                <w:sz w:val="24"/>
                <w:szCs w:val="24"/>
              </w:rPr>
              <w:t>自然人</w:t>
            </w:r>
          </w:p>
        </w:tc>
        <w:tc>
          <w:tcPr>
            <w:tcW w:w="3140" w:type="dxa"/>
            <w:gridSpan w:val="5"/>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ascii="黑体" w:hAnsi="黑体" w:eastAsia="黑体"/>
                <w:color w:val="auto"/>
                <w:sz w:val="24"/>
                <w:szCs w:val="24"/>
              </w:rPr>
            </w:pPr>
            <w:r>
              <w:rPr>
                <w:rFonts w:hint="eastAsia" w:ascii="黑体" w:hAnsi="黑体" w:eastAsia="黑体"/>
                <w:color w:val="auto"/>
                <w:kern w:val="0"/>
                <w:sz w:val="24"/>
                <w:szCs w:val="24"/>
              </w:rPr>
              <w:t>法人或其他组织</w:t>
            </w:r>
          </w:p>
        </w:tc>
        <w:tc>
          <w:tcPr>
            <w:tcW w:w="851" w:type="dxa"/>
            <w:vMerge w:val="restart"/>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auto"/>
                <w:sz w:val="24"/>
                <w:szCs w:val="24"/>
              </w:rPr>
            </w:pPr>
            <w:r>
              <w:rPr>
                <w:rFonts w:hint="eastAsia" w:ascii="黑体" w:hAnsi="黑体" w:eastAsia="黑体"/>
                <w:color w:val="auto"/>
                <w:kern w:val="0"/>
                <w:sz w:val="24"/>
                <w:szCs w:val="24"/>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930" w:type="dxa"/>
            <w:gridSpan w:val="3"/>
            <w:vMerge w:val="continue"/>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jc w:val="center"/>
              <w:textAlignment w:val="auto"/>
              <w:rPr>
                <w:rFonts w:ascii="仿宋_GB2312" w:hAnsi="Times New Roman" w:eastAsia="仿宋_GB2312"/>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jc w:val="center"/>
              <w:textAlignment w:val="auto"/>
              <w:rPr>
                <w:rFonts w:ascii="黑体" w:hAnsi="黑体" w:eastAsia="黑体"/>
                <w:color w:val="auto"/>
                <w:sz w:val="24"/>
                <w:szCs w:val="24"/>
              </w:rPr>
            </w:pP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2" w:leftChars="-51" w:right="-163" w:rightChars="-51" w:hanging="1"/>
              <w:jc w:val="center"/>
              <w:textAlignment w:val="auto"/>
              <w:rPr>
                <w:rFonts w:ascii="黑体" w:hAnsi="黑体" w:eastAsia="黑体"/>
                <w:color w:val="auto"/>
                <w:sz w:val="24"/>
                <w:szCs w:val="24"/>
              </w:rPr>
            </w:pPr>
            <w:r>
              <w:rPr>
                <w:rFonts w:hint="eastAsia" w:ascii="黑体" w:hAnsi="黑体" w:eastAsia="黑体"/>
                <w:color w:val="auto"/>
                <w:kern w:val="0"/>
                <w:sz w:val="24"/>
                <w:szCs w:val="24"/>
              </w:rPr>
              <w:t>商业企业</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3" w:leftChars="-51" w:right="-163" w:rightChars="-51"/>
              <w:jc w:val="center"/>
              <w:textAlignment w:val="auto"/>
              <w:rPr>
                <w:rFonts w:ascii="黑体" w:hAnsi="黑体" w:eastAsia="黑体"/>
                <w:color w:val="auto"/>
                <w:sz w:val="24"/>
                <w:szCs w:val="24"/>
              </w:rPr>
            </w:pPr>
            <w:r>
              <w:rPr>
                <w:rFonts w:hint="eastAsia" w:ascii="黑体" w:hAnsi="黑体" w:eastAsia="黑体"/>
                <w:color w:val="auto"/>
                <w:kern w:val="0"/>
                <w:sz w:val="24"/>
                <w:szCs w:val="24"/>
              </w:rPr>
              <w:t>科研机构</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3" w:leftChars="-51" w:right="-163" w:rightChars="-51"/>
              <w:jc w:val="center"/>
              <w:textAlignment w:val="auto"/>
              <w:rPr>
                <w:rFonts w:ascii="黑体" w:hAnsi="黑体" w:eastAsia="黑体"/>
                <w:color w:val="auto"/>
                <w:sz w:val="24"/>
                <w:szCs w:val="24"/>
              </w:rPr>
            </w:pPr>
            <w:r>
              <w:rPr>
                <w:rFonts w:hint="eastAsia" w:ascii="黑体" w:hAnsi="黑体" w:eastAsia="黑体"/>
                <w:color w:val="auto"/>
                <w:kern w:val="0"/>
                <w:sz w:val="24"/>
                <w:szCs w:val="24"/>
              </w:rPr>
              <w:t>社会公益组织</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2" w:leftChars="-51" w:right="-163" w:rightChars="-51" w:hanging="1"/>
              <w:jc w:val="center"/>
              <w:textAlignment w:val="auto"/>
              <w:rPr>
                <w:rFonts w:ascii="黑体" w:hAnsi="黑体" w:eastAsia="黑体"/>
                <w:color w:val="auto"/>
                <w:sz w:val="24"/>
                <w:szCs w:val="24"/>
              </w:rPr>
            </w:pPr>
            <w:r>
              <w:rPr>
                <w:rFonts w:hint="eastAsia" w:ascii="黑体" w:hAnsi="黑体" w:eastAsia="黑体"/>
                <w:color w:val="auto"/>
                <w:kern w:val="0"/>
                <w:sz w:val="24"/>
                <w:szCs w:val="24"/>
              </w:rPr>
              <w:t>法律服务机构</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60" w:lineRule="exact"/>
              <w:ind w:left="-96" w:leftChars="-30" w:right="-205" w:rightChars="-64"/>
              <w:jc w:val="center"/>
              <w:textAlignment w:val="auto"/>
              <w:rPr>
                <w:rFonts w:ascii="黑体" w:hAnsi="黑体" w:eastAsia="黑体"/>
                <w:color w:val="auto"/>
                <w:sz w:val="24"/>
                <w:szCs w:val="24"/>
              </w:rPr>
            </w:pPr>
            <w:r>
              <w:rPr>
                <w:rFonts w:hint="eastAsia" w:ascii="黑体" w:hAnsi="黑体" w:eastAsia="黑体"/>
                <w:color w:val="auto"/>
                <w:kern w:val="0"/>
                <w:sz w:val="24"/>
                <w:szCs w:val="24"/>
              </w:rPr>
              <w:t>其他</w:t>
            </w:r>
          </w:p>
        </w:tc>
        <w:tc>
          <w:tcPr>
            <w:tcW w:w="851" w:type="dxa"/>
            <w:vMerge w:val="continue"/>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jc w:val="center"/>
              <w:textAlignment w:val="auto"/>
              <w:rPr>
                <w:rFonts w:ascii="仿宋_GB2312" w:hAnsi="Times New Roman"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930" w:type="dxa"/>
            <w:gridSpan w:val="3"/>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textAlignment w:val="auto"/>
              <w:rPr>
                <w:rFonts w:ascii="黑体" w:hAnsi="黑体" w:eastAsia="黑体"/>
                <w:color w:val="auto"/>
                <w:sz w:val="24"/>
                <w:szCs w:val="24"/>
              </w:rPr>
            </w:pPr>
            <w:r>
              <w:rPr>
                <w:rFonts w:hint="eastAsia" w:ascii="黑体" w:hAnsi="黑体" w:eastAsia="黑体"/>
                <w:color w:val="auto"/>
                <w:kern w:val="0"/>
                <w:sz w:val="24"/>
                <w:szCs w:val="24"/>
              </w:rPr>
              <w:t>一、</w:t>
            </w:r>
            <w:bookmarkStart w:id="0" w:name="_Hlk66973412"/>
            <w:r>
              <w:rPr>
                <w:rFonts w:hint="eastAsia" w:ascii="黑体" w:hAnsi="黑体" w:eastAsia="黑体"/>
                <w:color w:val="auto"/>
                <w:kern w:val="0"/>
                <w:sz w:val="24"/>
                <w:szCs w:val="24"/>
              </w:rPr>
              <w:t>本年新收政府信息公开申请数量</w:t>
            </w:r>
            <w:bookmarkEnd w:id="0"/>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930" w:type="dxa"/>
            <w:gridSpan w:val="3"/>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textAlignment w:val="auto"/>
              <w:rPr>
                <w:rFonts w:ascii="黑体" w:hAnsi="黑体" w:eastAsia="黑体"/>
                <w:color w:val="auto"/>
                <w:sz w:val="24"/>
                <w:szCs w:val="24"/>
              </w:rPr>
            </w:pPr>
            <w:r>
              <w:rPr>
                <w:rFonts w:hint="eastAsia" w:ascii="黑体" w:hAnsi="黑体" w:eastAsia="黑体"/>
                <w:color w:val="auto"/>
                <w:kern w:val="0"/>
                <w:sz w:val="24"/>
                <w:szCs w:val="24"/>
              </w:rPr>
              <w:t>二、上年结转政府信息公开申请数量</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textAlignment w:val="auto"/>
              <w:rPr>
                <w:rFonts w:ascii="黑体" w:hAnsi="黑体" w:eastAsia="黑体"/>
                <w:color w:val="auto"/>
                <w:sz w:val="24"/>
                <w:szCs w:val="24"/>
              </w:rPr>
            </w:pPr>
            <w:r>
              <w:rPr>
                <w:rFonts w:hint="eastAsia" w:ascii="黑体" w:hAnsi="黑体" w:eastAsia="黑体"/>
                <w:color w:val="auto"/>
                <w:kern w:val="0"/>
                <w:sz w:val="24"/>
                <w:szCs w:val="24"/>
              </w:rPr>
              <w:t>三、本年度办理结果</w:t>
            </w:r>
          </w:p>
        </w:tc>
        <w:tc>
          <w:tcPr>
            <w:tcW w:w="4514" w:type="dxa"/>
            <w:gridSpan w:val="2"/>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textAlignment w:val="auto"/>
              <w:rPr>
                <w:rFonts w:ascii="黑体" w:hAnsi="黑体" w:eastAsia="黑体"/>
                <w:color w:val="auto"/>
                <w:sz w:val="24"/>
                <w:szCs w:val="24"/>
              </w:rPr>
            </w:pPr>
            <w:r>
              <w:rPr>
                <w:rFonts w:hint="eastAsia" w:ascii="黑体" w:hAnsi="黑体" w:eastAsia="黑体"/>
                <w:color w:val="auto"/>
                <w:kern w:val="0"/>
                <w:sz w:val="24"/>
                <w:szCs w:val="24"/>
              </w:rPr>
              <w:t>（一）予以公开</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textAlignment w:val="auto"/>
              <w:rPr>
                <w:rFonts w:ascii="黑体" w:hAnsi="黑体" w:eastAsia="黑体"/>
                <w:color w:val="auto"/>
                <w:sz w:val="24"/>
                <w:szCs w:val="24"/>
              </w:rPr>
            </w:pPr>
          </w:p>
        </w:tc>
        <w:tc>
          <w:tcPr>
            <w:tcW w:w="4514" w:type="dxa"/>
            <w:gridSpan w:val="2"/>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textAlignment w:val="auto"/>
              <w:rPr>
                <w:rFonts w:ascii="黑体" w:hAnsi="黑体" w:eastAsia="黑体"/>
                <w:color w:val="auto"/>
                <w:sz w:val="24"/>
                <w:szCs w:val="24"/>
              </w:rPr>
            </w:pPr>
            <w:r>
              <w:rPr>
                <w:rFonts w:hint="eastAsia" w:ascii="黑体" w:hAnsi="黑体" w:eastAsia="黑体"/>
                <w:color w:val="auto"/>
                <w:kern w:val="0"/>
                <w:sz w:val="24"/>
                <w:szCs w:val="24"/>
              </w:rPr>
              <w:t>（二）部分公开（</w:t>
            </w:r>
            <w:bookmarkStart w:id="1" w:name="_Hlk66973981"/>
            <w:r>
              <w:rPr>
                <w:rFonts w:hint="eastAsia" w:ascii="黑体" w:hAnsi="黑体" w:eastAsia="黑体"/>
                <w:color w:val="auto"/>
                <w:kern w:val="0"/>
                <w:sz w:val="24"/>
                <w:szCs w:val="24"/>
              </w:rPr>
              <w:t>区分处理的，只计这一情形，不计其他情形</w:t>
            </w:r>
            <w:bookmarkEnd w:id="1"/>
            <w:r>
              <w:rPr>
                <w:rFonts w:hint="eastAsia" w:ascii="黑体" w:hAnsi="黑体" w:eastAsia="黑体"/>
                <w:color w:val="auto"/>
                <w:kern w:val="0"/>
                <w:sz w:val="24"/>
                <w:szCs w:val="24"/>
              </w:rPr>
              <w:t>）</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restart"/>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3" w:leftChars="-51"/>
              <w:textAlignment w:val="auto"/>
              <w:rPr>
                <w:rFonts w:ascii="黑体" w:hAnsi="黑体" w:eastAsia="黑体"/>
                <w:color w:val="auto"/>
                <w:sz w:val="24"/>
                <w:szCs w:val="24"/>
              </w:rPr>
            </w:pPr>
            <w:r>
              <w:rPr>
                <w:rFonts w:hint="eastAsia" w:ascii="黑体" w:hAnsi="黑体" w:eastAsia="黑体"/>
                <w:color w:val="auto"/>
                <w:kern w:val="0"/>
                <w:sz w:val="24"/>
                <w:szCs w:val="24"/>
              </w:rPr>
              <w:t>（三）不予公开</w:t>
            </w: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1.属于国家秘密</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2"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2.</w:t>
            </w:r>
            <w:bookmarkStart w:id="2" w:name="_Hlk66974104"/>
            <w:r>
              <w:rPr>
                <w:rFonts w:hint="eastAsia" w:ascii="仿宋_GB2312" w:hAnsi="黑体" w:eastAsia="仿宋_GB2312"/>
                <w:color w:val="auto"/>
                <w:kern w:val="0"/>
                <w:sz w:val="24"/>
                <w:szCs w:val="24"/>
              </w:rPr>
              <w:t>其他法律行政法规禁止公开</w:t>
            </w:r>
            <w:bookmarkEnd w:id="2"/>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3.危及“三安全一稳定”</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3"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4.</w:t>
            </w:r>
            <w:bookmarkStart w:id="3" w:name="_Hlk66974290"/>
            <w:r>
              <w:rPr>
                <w:rFonts w:hint="eastAsia" w:ascii="仿宋_GB2312" w:hAnsi="黑体" w:eastAsia="仿宋_GB2312"/>
                <w:color w:val="auto"/>
                <w:kern w:val="0"/>
                <w:sz w:val="24"/>
                <w:szCs w:val="24"/>
              </w:rPr>
              <w:t>保护第三方合法权益</w:t>
            </w:r>
            <w:bookmarkEnd w:id="3"/>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5.属于三类内部事务信息</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6.</w:t>
            </w:r>
            <w:bookmarkStart w:id="4" w:name="_Hlk66974555"/>
            <w:r>
              <w:rPr>
                <w:rFonts w:hint="eastAsia" w:ascii="仿宋_GB2312" w:hAnsi="黑体" w:eastAsia="仿宋_GB2312"/>
                <w:color w:val="auto"/>
                <w:kern w:val="0"/>
                <w:sz w:val="24"/>
                <w:szCs w:val="24"/>
              </w:rPr>
              <w:t>属于四类过程性信息</w:t>
            </w:r>
            <w:bookmarkEnd w:id="4"/>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7.属于行政执法案卷</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8.</w:t>
            </w:r>
            <w:bookmarkStart w:id="5" w:name="_Hlk66975211"/>
            <w:r>
              <w:rPr>
                <w:rFonts w:hint="eastAsia" w:ascii="仿宋_GB2312" w:hAnsi="黑体" w:eastAsia="仿宋_GB2312"/>
                <w:color w:val="auto"/>
                <w:kern w:val="0"/>
                <w:sz w:val="24"/>
                <w:szCs w:val="24"/>
              </w:rPr>
              <w:t>属于行政查询事项</w:t>
            </w:r>
            <w:bookmarkEnd w:id="5"/>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restart"/>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3" w:leftChars="-51"/>
              <w:textAlignment w:val="auto"/>
              <w:rPr>
                <w:rFonts w:ascii="黑体" w:hAnsi="黑体" w:eastAsia="黑体"/>
                <w:color w:val="auto"/>
                <w:sz w:val="24"/>
                <w:szCs w:val="24"/>
              </w:rPr>
            </w:pPr>
            <w:r>
              <w:rPr>
                <w:rFonts w:hint="eastAsia" w:ascii="黑体" w:hAnsi="黑体" w:eastAsia="黑体"/>
                <w:color w:val="auto"/>
                <w:kern w:val="0"/>
                <w:sz w:val="24"/>
                <w:szCs w:val="24"/>
              </w:rPr>
              <w:t>（四）无法提供</w:t>
            </w: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1.本机关不掌握相关政府信息</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9"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3" w:leftChars="-51"/>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2.</w:t>
            </w:r>
            <w:bookmarkStart w:id="6" w:name="_Hlk66975392"/>
            <w:r>
              <w:rPr>
                <w:rFonts w:hint="eastAsia" w:ascii="仿宋_GB2312" w:hAnsi="黑体" w:eastAsia="仿宋_GB2312"/>
                <w:color w:val="auto"/>
                <w:kern w:val="0"/>
                <w:sz w:val="24"/>
                <w:szCs w:val="24"/>
              </w:rPr>
              <w:t>没有现成信息需要另行制作</w:t>
            </w:r>
            <w:bookmarkEnd w:id="6"/>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3" w:leftChars="-51"/>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3.</w:t>
            </w:r>
            <w:bookmarkStart w:id="7" w:name="_Hlk66975466"/>
            <w:r>
              <w:rPr>
                <w:rFonts w:hint="eastAsia" w:ascii="仿宋_GB2312" w:hAnsi="黑体" w:eastAsia="仿宋_GB2312"/>
                <w:color w:val="auto"/>
                <w:kern w:val="0"/>
                <w:sz w:val="24"/>
                <w:szCs w:val="24"/>
              </w:rPr>
              <w:t>补正后申请内容仍不明确</w:t>
            </w:r>
            <w:bookmarkEnd w:id="7"/>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restart"/>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ind w:left="-163" w:leftChars="-51"/>
              <w:textAlignment w:val="auto"/>
              <w:rPr>
                <w:rFonts w:ascii="黑体" w:hAnsi="黑体" w:eastAsia="黑体"/>
                <w:color w:val="auto"/>
                <w:sz w:val="24"/>
                <w:szCs w:val="24"/>
              </w:rPr>
            </w:pPr>
            <w:r>
              <w:rPr>
                <w:rFonts w:hint="eastAsia" w:ascii="黑体" w:hAnsi="黑体" w:eastAsia="黑体"/>
                <w:color w:val="auto"/>
                <w:kern w:val="0"/>
                <w:sz w:val="24"/>
                <w:szCs w:val="24"/>
              </w:rPr>
              <w:t>（五）不予处理</w:t>
            </w: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1.</w:t>
            </w:r>
            <w:bookmarkStart w:id="8" w:name="_Hlk66975537"/>
            <w:r>
              <w:rPr>
                <w:rFonts w:hint="eastAsia" w:ascii="仿宋_GB2312" w:hAnsi="黑体" w:eastAsia="仿宋_GB2312"/>
                <w:color w:val="auto"/>
                <w:kern w:val="0"/>
                <w:sz w:val="24"/>
                <w:szCs w:val="24"/>
              </w:rPr>
              <w:t>信访举报投诉类申请</w:t>
            </w:r>
            <w:bookmarkEnd w:id="8"/>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黑体" w:eastAsia="仿宋_GB2312"/>
                <w:color w:val="auto"/>
                <w:kern w:val="0"/>
                <w:sz w:val="24"/>
                <w:szCs w:val="24"/>
              </w:rPr>
              <w:t>2.重复申请</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sz w:val="24"/>
                <w:szCs w:val="24"/>
              </w:rPr>
            </w:pPr>
            <w:r>
              <w:rPr>
                <w:rFonts w:hint="eastAsia" w:ascii="仿宋_GB2312" w:hAnsi="黑体" w:eastAsia="仿宋_GB2312"/>
                <w:color w:val="auto"/>
                <w:kern w:val="0"/>
                <w:sz w:val="24"/>
                <w:szCs w:val="24"/>
              </w:rPr>
              <w:t>3.要求提供公开出版物</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0" w:hRule="exac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sz w:val="24"/>
                <w:szCs w:val="24"/>
              </w:rPr>
            </w:pPr>
            <w:r>
              <w:rPr>
                <w:rFonts w:hint="eastAsia" w:ascii="仿宋_GB2312" w:hAnsi="黑体" w:eastAsia="仿宋_GB2312"/>
                <w:color w:val="auto"/>
                <w:kern w:val="0"/>
                <w:sz w:val="24"/>
                <w:szCs w:val="24"/>
              </w:rPr>
              <w:t>4.无正当理由大量反复申请</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352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sz w:val="24"/>
                <w:szCs w:val="24"/>
              </w:rPr>
            </w:pPr>
            <w:r>
              <w:rPr>
                <w:rFonts w:hint="eastAsia" w:ascii="仿宋_GB2312" w:hAnsi="黑体" w:eastAsia="仿宋_GB2312"/>
                <w:color w:val="auto"/>
                <w:kern w:val="0"/>
                <w:sz w:val="24"/>
                <w:szCs w:val="24"/>
              </w:rPr>
              <w:t>5.要求行政机关确认或重新出具已获取信息</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restart"/>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kern w:val="0"/>
                <w:sz w:val="24"/>
                <w:szCs w:val="24"/>
              </w:rPr>
            </w:pPr>
            <w:r>
              <w:rPr>
                <w:rFonts w:hint="eastAsia" w:ascii="黑体" w:hAnsi="黑体" w:eastAsia="黑体"/>
                <w:color w:val="auto"/>
                <w:kern w:val="0"/>
                <w:sz w:val="24"/>
                <w:szCs w:val="24"/>
              </w:rPr>
              <w:t>（六）其他处理</w:t>
            </w:r>
          </w:p>
        </w:tc>
        <w:tc>
          <w:tcPr>
            <w:tcW w:w="3522" w:type="dxa"/>
            <w:shd w:val="clear" w:color="auto" w:fill="auto"/>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楷体" w:eastAsia="仿宋_GB2312"/>
                <w:color w:val="auto"/>
                <w:sz w:val="24"/>
                <w:szCs w:val="24"/>
              </w:rPr>
            </w:pPr>
            <w:r>
              <w:rPr>
                <w:rFonts w:hint="eastAsia" w:ascii="仿宋_GB2312" w:hAnsi="楷体" w:eastAsia="仿宋_GB2312"/>
                <w:color w:val="auto"/>
                <w:sz w:val="24"/>
                <w:szCs w:val="24"/>
              </w:rPr>
              <w:t>1.申请人无正当理由逾期不补正、行政机关不再处理其政府信息公开申请</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kern w:val="0"/>
                <w:sz w:val="24"/>
                <w:szCs w:val="24"/>
              </w:rPr>
            </w:pPr>
          </w:p>
        </w:tc>
        <w:tc>
          <w:tcPr>
            <w:tcW w:w="3522" w:type="dxa"/>
            <w:shd w:val="clear" w:color="auto" w:fill="auto"/>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楷体" w:eastAsia="仿宋_GB2312"/>
                <w:color w:val="auto"/>
                <w:sz w:val="24"/>
                <w:szCs w:val="24"/>
              </w:rPr>
              <w:t>2.申请人逾期未按收费通知要求缴纳费用、行政机关不再处理其政府信息公开申请</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992"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kern w:val="0"/>
                <w:sz w:val="24"/>
                <w:szCs w:val="24"/>
              </w:rPr>
            </w:pPr>
          </w:p>
        </w:tc>
        <w:tc>
          <w:tcPr>
            <w:tcW w:w="3522" w:type="dxa"/>
            <w:shd w:val="clear" w:color="auto" w:fill="auto"/>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仿宋_GB2312" w:hAnsi="黑体" w:eastAsia="仿宋_GB2312"/>
                <w:color w:val="auto"/>
                <w:kern w:val="0"/>
                <w:sz w:val="24"/>
                <w:szCs w:val="24"/>
              </w:rPr>
            </w:pPr>
            <w:r>
              <w:rPr>
                <w:rFonts w:hint="eastAsia" w:ascii="仿宋_GB2312" w:hAnsi="楷体" w:eastAsia="仿宋_GB2312"/>
                <w:color w:val="auto"/>
                <w:sz w:val="24"/>
                <w:szCs w:val="24"/>
              </w:rPr>
              <w:t>3.其他</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sz w:val="24"/>
                <w:szCs w:val="24"/>
              </w:rPr>
            </w:pPr>
          </w:p>
        </w:tc>
        <w:tc>
          <w:tcPr>
            <w:tcW w:w="4514" w:type="dxa"/>
            <w:gridSpan w:val="2"/>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kern w:val="0"/>
                <w:sz w:val="24"/>
                <w:szCs w:val="24"/>
              </w:rPr>
            </w:pPr>
            <w:r>
              <w:rPr>
                <w:rFonts w:hint="eastAsia" w:ascii="黑体" w:hAnsi="黑体" w:eastAsia="黑体"/>
                <w:color w:val="auto"/>
                <w:kern w:val="0"/>
                <w:sz w:val="24"/>
                <w:szCs w:val="24"/>
              </w:rPr>
              <w:t>（七）总计</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30" w:type="dxa"/>
            <w:gridSpan w:val="3"/>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textAlignment w:val="auto"/>
              <w:rPr>
                <w:rFonts w:ascii="黑体" w:hAnsi="黑体" w:eastAsia="黑体"/>
                <w:color w:val="auto"/>
                <w:kern w:val="0"/>
                <w:sz w:val="24"/>
                <w:szCs w:val="24"/>
              </w:rPr>
            </w:pPr>
            <w:r>
              <w:rPr>
                <w:rFonts w:hint="eastAsia" w:ascii="黑体" w:hAnsi="黑体" w:eastAsia="黑体"/>
                <w:color w:val="auto"/>
                <w:kern w:val="0"/>
                <w:sz w:val="24"/>
                <w:szCs w:val="24"/>
              </w:rPr>
              <w:t>四、结转下年度继续办理</w:t>
            </w:r>
          </w:p>
        </w:tc>
        <w:tc>
          <w:tcPr>
            <w:tcW w:w="992"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3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708"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567"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c>
          <w:tcPr>
            <w:tcW w:w="851" w:type="dxa"/>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auto"/>
                <w:sz w:val="24"/>
                <w:szCs w:val="24"/>
                <w:lang w:val="en-US" w:eastAsia="zh-CN"/>
              </w:rPr>
            </w:pPr>
            <w:r>
              <w:rPr>
                <w:rFonts w:hint="eastAsia"/>
                <w:color w:val="auto"/>
                <w:sz w:val="24"/>
                <w:szCs w:val="24"/>
                <w:lang w:val="en-US" w:eastAsia="zh-CN"/>
              </w:rPr>
              <w:t>0</w:t>
            </w:r>
          </w:p>
        </w:tc>
      </w:tr>
    </w:tbl>
    <w:p>
      <w:pPr>
        <w:keepNext/>
        <w:keepLines w:val="0"/>
        <w:pageBreakBefore w:val="0"/>
        <w:kinsoku/>
        <w:wordWrap/>
        <w:overflowPunct/>
        <w:topLinePunct w:val="0"/>
        <w:autoSpaceDE/>
        <w:autoSpaceDN/>
        <w:bidi w:val="0"/>
        <w:adjustRightInd/>
        <w:snapToGrid/>
        <w:textAlignment w:val="auto"/>
        <w:rPr>
          <w:rFonts w:hint="eastAsia" w:ascii="仿宋_GB2312" w:eastAsia="仿宋_GB2312"/>
          <w:color w:val="auto"/>
          <w:sz w:val="32"/>
          <w:szCs w:val="32"/>
          <w:lang w:val="en-US" w:eastAsia="zh-CN"/>
        </w:rPr>
        <w:sectPr>
          <w:footerReference r:id="rId3" w:type="default"/>
          <w:pgSz w:w="11906" w:h="16838"/>
          <w:pgMar w:top="1440" w:right="1474" w:bottom="1440" w:left="1588" w:header="851" w:footer="992" w:gutter="0"/>
          <w:cols w:space="425" w:num="1"/>
          <w:docGrid w:type="lines" w:linePitch="312" w:charSpace="0"/>
        </w:sectPr>
      </w:pPr>
    </w:p>
    <w:p>
      <w:pPr>
        <w:keepNext/>
        <w:keepLines w:val="0"/>
        <w:pageBreakBefore w:val="0"/>
        <w:kinsoku/>
        <w:wordWrap/>
        <w:overflowPunct/>
        <w:topLinePunct w:val="0"/>
        <w:autoSpaceDE/>
        <w:autoSpaceDN/>
        <w:bidi w:val="0"/>
        <w:adjustRightInd/>
        <w:snapToGrid/>
        <w:ind w:firstLine="640" w:firstLineChars="200"/>
        <w:jc w:val="both"/>
        <w:textAlignment w:val="auto"/>
        <w:rPr>
          <w:rFonts w:ascii="仿宋_GB2312" w:eastAsia="仿宋_GB2312"/>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因政府信息公开工作被申请行政复议、提起行政诉讼情况</w:t>
      </w:r>
    </w:p>
    <w:tbl>
      <w:tblPr>
        <w:tblStyle w:val="7"/>
        <w:tblW w:w="914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524"/>
        <w:gridCol w:w="686"/>
        <w:gridCol w:w="605"/>
        <w:gridCol w:w="605"/>
        <w:gridCol w:w="605"/>
        <w:gridCol w:w="606"/>
        <w:gridCol w:w="6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auto"/>
              </w:rPr>
            </w:pPr>
            <w:r>
              <w:rPr>
                <w:rFonts w:ascii="黑体" w:hAnsi="黑体" w:eastAsia="黑体"/>
                <w:color w:val="auto"/>
                <w:kern w:val="0"/>
                <w:sz w:val="20"/>
                <w:szCs w:val="20"/>
              </w:rPr>
              <w:t>行政复议</w:t>
            </w:r>
          </w:p>
        </w:tc>
        <w:tc>
          <w:tcPr>
            <w:tcW w:w="6072"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auto"/>
              </w:rPr>
            </w:pPr>
            <w:r>
              <w:rPr>
                <w:rFonts w:ascii="黑体" w:hAnsi="黑体" w:eastAsia="黑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227" w:leftChars="-71" w:right="-259" w:rightChars="-81"/>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keepLines w:val="0"/>
              <w:pageBreakBefore w:val="0"/>
              <w:widowControl/>
              <w:kinsoku/>
              <w:wordWrap/>
              <w:overflowPunct/>
              <w:topLinePunct w:val="0"/>
              <w:autoSpaceDE/>
              <w:autoSpaceDN/>
              <w:bidi w:val="0"/>
              <w:adjustRightInd/>
              <w:snapToGrid/>
              <w:ind w:left="-227" w:leftChars="-71" w:right="-259" w:rightChars="-81"/>
              <w:jc w:val="center"/>
              <w:textAlignment w:val="auto"/>
              <w:rPr>
                <w:rFonts w:ascii="黑体" w:hAnsi="黑体" w:eastAsia="黑体"/>
                <w:color w:val="auto"/>
              </w:rPr>
            </w:pPr>
            <w:r>
              <w:rPr>
                <w:rFonts w:ascii="黑体" w:hAnsi="黑体" w:eastAsia="黑体"/>
                <w:color w:val="auto"/>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66" w:leftChars="-21" w:right="-202" w:rightChars="-63" w:hanging="1"/>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keepLines w:val="0"/>
              <w:pageBreakBefore w:val="0"/>
              <w:widowControl/>
              <w:kinsoku/>
              <w:wordWrap/>
              <w:overflowPunct/>
              <w:topLinePunct w:val="0"/>
              <w:autoSpaceDE/>
              <w:autoSpaceDN/>
              <w:bidi w:val="0"/>
              <w:adjustRightInd/>
              <w:snapToGrid/>
              <w:ind w:left="-66" w:leftChars="-21" w:right="-202" w:rightChars="-63" w:hanging="1"/>
              <w:jc w:val="center"/>
              <w:textAlignment w:val="auto"/>
              <w:rPr>
                <w:rFonts w:ascii="黑体" w:hAnsi="黑体" w:eastAsia="黑体"/>
                <w:color w:val="auto"/>
              </w:rPr>
            </w:pPr>
            <w:r>
              <w:rPr>
                <w:rFonts w:ascii="黑体" w:hAnsi="黑体" w:eastAsia="黑体"/>
                <w:color w:val="auto"/>
                <w:kern w:val="0"/>
                <w:sz w:val="20"/>
                <w:szCs w:val="20"/>
              </w:rPr>
              <w:t>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125" w:leftChars="-39" w:right="-147" w:rightChars="-46"/>
              <w:jc w:val="center"/>
              <w:textAlignment w:val="auto"/>
              <w:rPr>
                <w:rFonts w:ascii="黑体" w:hAnsi="黑体" w:eastAsia="黑体"/>
                <w:color w:val="auto"/>
                <w:kern w:val="0"/>
                <w:sz w:val="20"/>
                <w:szCs w:val="20"/>
              </w:rPr>
            </w:pPr>
            <w:r>
              <w:rPr>
                <w:rFonts w:ascii="黑体" w:hAnsi="黑体" w:eastAsia="黑体"/>
                <w:color w:val="auto"/>
                <w:kern w:val="0"/>
                <w:sz w:val="20"/>
                <w:szCs w:val="20"/>
              </w:rPr>
              <w:t>其他</w:t>
            </w:r>
          </w:p>
          <w:p>
            <w:pPr>
              <w:keepNext/>
              <w:keepLines w:val="0"/>
              <w:pageBreakBefore w:val="0"/>
              <w:widowControl/>
              <w:kinsoku/>
              <w:wordWrap/>
              <w:overflowPunct/>
              <w:topLinePunct w:val="0"/>
              <w:autoSpaceDE/>
              <w:autoSpaceDN/>
              <w:bidi w:val="0"/>
              <w:adjustRightInd/>
              <w:snapToGrid/>
              <w:ind w:left="-125" w:leftChars="-39" w:right="-147" w:rightChars="-46"/>
              <w:jc w:val="center"/>
              <w:textAlignment w:val="auto"/>
              <w:rPr>
                <w:rFonts w:ascii="黑体" w:hAnsi="黑体" w:eastAsia="黑体"/>
                <w:color w:val="auto"/>
              </w:rPr>
            </w:pPr>
            <w:r>
              <w:rPr>
                <w:rFonts w:ascii="黑体" w:hAnsi="黑体" w:eastAsia="黑体"/>
                <w:color w:val="auto"/>
                <w:kern w:val="0"/>
                <w:sz w:val="20"/>
                <w:szCs w:val="20"/>
              </w:rPr>
              <w:t>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179" w:leftChars="-56" w:right="-179" w:rightChars="-56"/>
              <w:jc w:val="center"/>
              <w:textAlignment w:val="auto"/>
              <w:rPr>
                <w:rFonts w:ascii="黑体" w:hAnsi="黑体" w:eastAsia="黑体"/>
                <w:color w:val="auto"/>
                <w:kern w:val="0"/>
                <w:sz w:val="20"/>
                <w:szCs w:val="20"/>
              </w:rPr>
            </w:pPr>
            <w:r>
              <w:rPr>
                <w:rFonts w:ascii="黑体" w:hAnsi="黑体" w:eastAsia="黑体"/>
                <w:color w:val="auto"/>
                <w:kern w:val="0"/>
                <w:sz w:val="20"/>
                <w:szCs w:val="20"/>
              </w:rPr>
              <w:t>尚未</w:t>
            </w:r>
          </w:p>
          <w:p>
            <w:pPr>
              <w:keepNext/>
              <w:keepLines w:val="0"/>
              <w:pageBreakBefore w:val="0"/>
              <w:widowControl/>
              <w:kinsoku/>
              <w:wordWrap/>
              <w:overflowPunct/>
              <w:topLinePunct w:val="0"/>
              <w:autoSpaceDE/>
              <w:autoSpaceDN/>
              <w:bidi w:val="0"/>
              <w:adjustRightInd/>
              <w:snapToGrid/>
              <w:ind w:left="-179" w:leftChars="-56" w:right="-179" w:rightChars="-56"/>
              <w:jc w:val="center"/>
              <w:textAlignment w:val="auto"/>
              <w:rPr>
                <w:rFonts w:ascii="黑体" w:hAnsi="黑体" w:eastAsia="黑体"/>
                <w:color w:val="auto"/>
              </w:rPr>
            </w:pPr>
            <w:r>
              <w:rPr>
                <w:rFonts w:ascii="黑体" w:hAnsi="黑体" w:eastAsia="黑体"/>
                <w:color w:val="auto"/>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line="320" w:lineRule="exact"/>
              <w:jc w:val="center"/>
              <w:textAlignment w:val="auto"/>
              <w:rPr>
                <w:rFonts w:ascii="黑体" w:hAnsi="黑体" w:eastAsia="黑体"/>
                <w:color w:val="auto"/>
              </w:rPr>
            </w:pPr>
            <w:r>
              <w:rPr>
                <w:rFonts w:ascii="黑体" w:hAnsi="黑体" w:eastAsia="黑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auto"/>
              </w:rPr>
            </w:pPr>
            <w:r>
              <w:rPr>
                <w:rFonts w:ascii="黑体" w:hAnsi="黑体" w:eastAsia="黑体"/>
                <w:color w:val="auto"/>
                <w:kern w:val="0"/>
                <w:sz w:val="20"/>
                <w:szCs w:val="20"/>
              </w:rPr>
              <w:t>未经复议直接起诉</w:t>
            </w:r>
          </w:p>
        </w:tc>
        <w:tc>
          <w:tcPr>
            <w:tcW w:w="3102"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auto"/>
              </w:rPr>
            </w:pPr>
            <w:bookmarkStart w:id="9" w:name="_Hlk67039688"/>
            <w:r>
              <w:rPr>
                <w:rFonts w:ascii="黑体" w:hAnsi="黑体" w:eastAsia="黑体"/>
                <w:color w:val="auto"/>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textAlignment w:val="auto"/>
              <w:rPr>
                <w:rFonts w:ascii="黑体" w:hAnsi="黑体" w:eastAsia="黑体"/>
                <w:color w:val="auto"/>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textAlignment w:val="auto"/>
              <w:rPr>
                <w:rFonts w:ascii="黑体" w:hAnsi="黑体" w:eastAsia="黑体"/>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textAlignment w:val="auto"/>
              <w:rPr>
                <w:rFonts w:ascii="黑体" w:hAnsi="黑体" w:eastAsia="黑体"/>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textAlignment w:val="auto"/>
              <w:rPr>
                <w:rFonts w:ascii="黑体" w:hAnsi="黑体" w:eastAsia="黑体"/>
                <w:color w:val="auto"/>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kinsoku/>
              <w:wordWrap/>
              <w:overflowPunct/>
              <w:topLinePunct w:val="0"/>
              <w:autoSpaceDE/>
              <w:autoSpaceDN/>
              <w:bidi w:val="0"/>
              <w:adjustRightInd/>
              <w:snapToGrid/>
              <w:textAlignment w:val="auto"/>
              <w:rPr>
                <w:rFonts w:ascii="黑体" w:hAnsi="黑体" w:eastAsia="黑体"/>
                <w:color w:val="auto"/>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160" w:leftChars="-50" w:right="-192" w:rightChars="-60"/>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keepLines w:val="0"/>
              <w:pageBreakBefore w:val="0"/>
              <w:widowControl/>
              <w:kinsoku/>
              <w:wordWrap/>
              <w:overflowPunct/>
              <w:topLinePunct w:val="0"/>
              <w:autoSpaceDE/>
              <w:autoSpaceDN/>
              <w:bidi w:val="0"/>
              <w:adjustRightInd/>
              <w:snapToGrid/>
              <w:ind w:left="-160" w:leftChars="-50" w:right="-192" w:rightChars="-60"/>
              <w:jc w:val="center"/>
              <w:textAlignment w:val="auto"/>
              <w:rPr>
                <w:rFonts w:ascii="黑体" w:hAnsi="黑体" w:eastAsia="黑体"/>
                <w:color w:val="auto"/>
              </w:rPr>
            </w:pPr>
            <w:r>
              <w:rPr>
                <w:rFonts w:ascii="黑体" w:hAnsi="黑体" w:eastAsia="黑体"/>
                <w:color w:val="auto"/>
                <w:kern w:val="0"/>
                <w:sz w:val="20"/>
                <w:szCs w:val="20"/>
              </w:rPr>
              <w:t>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131" w:leftChars="-41" w:right="-134" w:rightChars="-42"/>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keepLines w:val="0"/>
              <w:pageBreakBefore w:val="0"/>
              <w:widowControl/>
              <w:kinsoku/>
              <w:wordWrap/>
              <w:overflowPunct/>
              <w:topLinePunct w:val="0"/>
              <w:autoSpaceDE/>
              <w:autoSpaceDN/>
              <w:bidi w:val="0"/>
              <w:adjustRightInd/>
              <w:snapToGrid/>
              <w:ind w:left="-131" w:leftChars="-41" w:right="-134" w:rightChars="-42"/>
              <w:jc w:val="center"/>
              <w:textAlignment w:val="auto"/>
              <w:rPr>
                <w:rFonts w:ascii="黑体" w:hAnsi="黑体" w:eastAsia="黑体"/>
                <w:color w:val="auto"/>
              </w:rPr>
            </w:pPr>
            <w:r>
              <w:rPr>
                <w:rFonts w:ascii="黑体" w:hAnsi="黑体" w:eastAsia="黑体"/>
                <w:color w:val="auto"/>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192" w:leftChars="-60" w:right="-208" w:rightChars="-65"/>
              <w:jc w:val="center"/>
              <w:textAlignment w:val="auto"/>
              <w:rPr>
                <w:rFonts w:ascii="黑体" w:hAnsi="黑体" w:eastAsia="黑体"/>
                <w:color w:val="auto"/>
                <w:kern w:val="0"/>
                <w:sz w:val="20"/>
                <w:szCs w:val="20"/>
              </w:rPr>
            </w:pPr>
            <w:r>
              <w:rPr>
                <w:rFonts w:ascii="黑体" w:hAnsi="黑体" w:eastAsia="黑体"/>
                <w:color w:val="auto"/>
                <w:kern w:val="0"/>
                <w:sz w:val="20"/>
                <w:szCs w:val="20"/>
              </w:rPr>
              <w:t>其他</w:t>
            </w:r>
          </w:p>
          <w:p>
            <w:pPr>
              <w:keepNext/>
              <w:keepLines w:val="0"/>
              <w:pageBreakBefore w:val="0"/>
              <w:widowControl/>
              <w:kinsoku/>
              <w:wordWrap/>
              <w:overflowPunct/>
              <w:topLinePunct w:val="0"/>
              <w:autoSpaceDE/>
              <w:autoSpaceDN/>
              <w:bidi w:val="0"/>
              <w:adjustRightInd/>
              <w:snapToGrid/>
              <w:ind w:left="-192" w:leftChars="-60" w:right="-208" w:rightChars="-65"/>
              <w:jc w:val="center"/>
              <w:textAlignment w:val="auto"/>
              <w:rPr>
                <w:rFonts w:ascii="黑体" w:hAnsi="黑体" w:eastAsia="黑体"/>
                <w:color w:val="auto"/>
              </w:rPr>
            </w:pPr>
            <w:r>
              <w:rPr>
                <w:rFonts w:ascii="黑体" w:hAnsi="黑体" w:eastAsia="黑体"/>
                <w:color w:val="auto"/>
                <w:kern w:val="0"/>
                <w:sz w:val="20"/>
                <w:szCs w:val="20"/>
              </w:rPr>
              <w:t>结果</w:t>
            </w:r>
          </w:p>
        </w:tc>
        <w:tc>
          <w:tcPr>
            <w:tcW w:w="52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249" w:leftChars="-78" w:right="-234" w:rightChars="-73"/>
              <w:jc w:val="center"/>
              <w:textAlignment w:val="auto"/>
              <w:rPr>
                <w:rFonts w:ascii="黑体" w:hAnsi="黑体" w:eastAsia="黑体"/>
                <w:color w:val="auto"/>
                <w:kern w:val="0"/>
                <w:sz w:val="20"/>
                <w:szCs w:val="20"/>
              </w:rPr>
            </w:pPr>
            <w:r>
              <w:rPr>
                <w:rFonts w:ascii="黑体" w:hAnsi="黑体" w:eastAsia="黑体"/>
                <w:color w:val="auto"/>
                <w:kern w:val="0"/>
                <w:sz w:val="20"/>
                <w:szCs w:val="20"/>
              </w:rPr>
              <w:t>尚未</w:t>
            </w:r>
          </w:p>
          <w:p>
            <w:pPr>
              <w:keepNext/>
              <w:keepLines w:val="0"/>
              <w:pageBreakBefore w:val="0"/>
              <w:widowControl/>
              <w:kinsoku/>
              <w:wordWrap/>
              <w:overflowPunct/>
              <w:topLinePunct w:val="0"/>
              <w:autoSpaceDE/>
              <w:autoSpaceDN/>
              <w:bidi w:val="0"/>
              <w:adjustRightInd/>
              <w:snapToGrid/>
              <w:ind w:left="-249" w:leftChars="-78" w:right="-234" w:rightChars="-73"/>
              <w:jc w:val="center"/>
              <w:textAlignment w:val="auto"/>
              <w:rPr>
                <w:rFonts w:ascii="黑体" w:hAnsi="黑体" w:eastAsia="黑体"/>
                <w:color w:val="auto"/>
              </w:rPr>
            </w:pPr>
            <w:r>
              <w:rPr>
                <w:rFonts w:ascii="黑体" w:hAnsi="黑体" w:eastAsia="黑体"/>
                <w:color w:val="auto"/>
                <w:kern w:val="0"/>
                <w:sz w:val="20"/>
                <w:szCs w:val="20"/>
              </w:rPr>
              <w:t>审结</w:t>
            </w:r>
          </w:p>
        </w:tc>
        <w:tc>
          <w:tcPr>
            <w:tcW w:w="6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auto"/>
              </w:rPr>
            </w:pPr>
            <w:r>
              <w:rPr>
                <w:rFonts w:hint="eastAsia" w:ascii="黑体" w:hAnsi="黑体" w:eastAsia="黑体"/>
                <w:color w:val="auto"/>
                <w:kern w:val="0"/>
                <w:sz w:val="20"/>
                <w:szCs w:val="20"/>
                <w:lang w:eastAsia="zh-CN"/>
              </w:rPr>
              <w:t>总</w:t>
            </w:r>
            <w:r>
              <w:rPr>
                <w:rFonts w:ascii="黑体" w:hAnsi="黑体" w:eastAsia="黑体"/>
                <w:color w:val="auto"/>
                <w:kern w:val="0"/>
                <w:sz w:val="20"/>
                <w:szCs w:val="20"/>
              </w:rPr>
              <w:t>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150" w:leftChars="-47" w:right="-118" w:rightChars="-37"/>
              <w:jc w:val="center"/>
              <w:textAlignment w:val="auto"/>
              <w:rPr>
                <w:rFonts w:ascii="黑体" w:hAnsi="黑体" w:eastAsia="黑体"/>
                <w:color w:val="auto"/>
              </w:rPr>
            </w:pPr>
            <w:r>
              <w:rPr>
                <w:rFonts w:ascii="黑体" w:hAnsi="黑体" w:eastAsia="黑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208" w:leftChars="-65" w:right="-189" w:rightChars="-59"/>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keepLines w:val="0"/>
              <w:pageBreakBefore w:val="0"/>
              <w:widowControl/>
              <w:kinsoku/>
              <w:wordWrap/>
              <w:overflowPunct/>
              <w:topLinePunct w:val="0"/>
              <w:autoSpaceDE/>
              <w:autoSpaceDN/>
              <w:bidi w:val="0"/>
              <w:adjustRightInd/>
              <w:snapToGrid/>
              <w:ind w:left="-208" w:leftChars="-65" w:right="-189" w:rightChars="-59"/>
              <w:jc w:val="center"/>
              <w:textAlignment w:val="auto"/>
              <w:rPr>
                <w:rFonts w:ascii="黑体" w:hAnsi="黑体" w:eastAsia="黑体"/>
                <w:color w:val="auto"/>
              </w:rPr>
            </w:pPr>
            <w:r>
              <w:rPr>
                <w:rFonts w:ascii="黑体" w:hAnsi="黑体" w:eastAsia="黑体"/>
                <w:color w:val="auto"/>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265" w:leftChars="-83" w:right="-205" w:rightChars="-64" w:hanging="1"/>
              <w:jc w:val="center"/>
              <w:textAlignment w:val="auto"/>
              <w:rPr>
                <w:rFonts w:ascii="黑体" w:hAnsi="黑体" w:eastAsia="黑体"/>
                <w:color w:val="auto"/>
                <w:kern w:val="0"/>
                <w:sz w:val="20"/>
                <w:szCs w:val="20"/>
              </w:rPr>
            </w:pPr>
            <w:r>
              <w:rPr>
                <w:rFonts w:ascii="黑体" w:hAnsi="黑体" w:eastAsia="黑体"/>
                <w:color w:val="auto"/>
                <w:kern w:val="0"/>
                <w:sz w:val="20"/>
                <w:szCs w:val="20"/>
              </w:rPr>
              <w:t>其他</w:t>
            </w:r>
          </w:p>
          <w:p>
            <w:pPr>
              <w:keepNext/>
              <w:keepLines w:val="0"/>
              <w:pageBreakBefore w:val="0"/>
              <w:widowControl/>
              <w:kinsoku/>
              <w:wordWrap/>
              <w:overflowPunct/>
              <w:topLinePunct w:val="0"/>
              <w:autoSpaceDE/>
              <w:autoSpaceDN/>
              <w:bidi w:val="0"/>
              <w:adjustRightInd/>
              <w:snapToGrid/>
              <w:ind w:left="-265" w:leftChars="-83" w:right="-205" w:rightChars="-64" w:hanging="1"/>
              <w:jc w:val="center"/>
              <w:textAlignment w:val="auto"/>
              <w:rPr>
                <w:rFonts w:ascii="黑体" w:hAnsi="黑体" w:eastAsia="黑体"/>
                <w:color w:val="auto"/>
              </w:rPr>
            </w:pPr>
            <w:r>
              <w:rPr>
                <w:rFonts w:ascii="黑体" w:hAnsi="黑体" w:eastAsia="黑体"/>
                <w:color w:val="auto"/>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ind w:left="-104" w:leftChars="-33" w:right="-160" w:rightChars="-50" w:hanging="2" w:hangingChars="1"/>
              <w:jc w:val="center"/>
              <w:textAlignment w:val="auto"/>
              <w:rPr>
                <w:rFonts w:ascii="黑体" w:hAnsi="黑体" w:eastAsia="黑体"/>
                <w:color w:val="auto"/>
                <w:kern w:val="0"/>
                <w:sz w:val="20"/>
                <w:szCs w:val="20"/>
              </w:rPr>
            </w:pPr>
            <w:r>
              <w:rPr>
                <w:rFonts w:ascii="黑体" w:hAnsi="黑体" w:eastAsia="黑体"/>
                <w:color w:val="auto"/>
                <w:kern w:val="0"/>
                <w:sz w:val="20"/>
                <w:szCs w:val="20"/>
              </w:rPr>
              <w:t>尚未</w:t>
            </w:r>
          </w:p>
          <w:p>
            <w:pPr>
              <w:keepNext/>
              <w:keepLines w:val="0"/>
              <w:pageBreakBefore w:val="0"/>
              <w:widowControl/>
              <w:kinsoku/>
              <w:wordWrap/>
              <w:overflowPunct/>
              <w:topLinePunct w:val="0"/>
              <w:autoSpaceDE/>
              <w:autoSpaceDN/>
              <w:bidi w:val="0"/>
              <w:adjustRightInd/>
              <w:snapToGrid/>
              <w:ind w:left="-104" w:leftChars="-33" w:right="-160" w:rightChars="-50" w:hanging="2" w:hangingChars="1"/>
              <w:jc w:val="center"/>
              <w:textAlignment w:val="auto"/>
              <w:rPr>
                <w:rFonts w:ascii="黑体" w:hAnsi="黑体" w:eastAsia="黑体"/>
                <w:color w:val="auto"/>
              </w:rPr>
            </w:pPr>
            <w:r>
              <w:rPr>
                <w:rFonts w:ascii="黑体" w:hAnsi="黑体" w:eastAsia="黑体"/>
                <w:color w:val="auto"/>
                <w:kern w:val="0"/>
                <w:sz w:val="20"/>
                <w:szCs w:val="20"/>
              </w:rPr>
              <w:t>审结</w:t>
            </w:r>
          </w:p>
        </w:tc>
        <w:tc>
          <w:tcPr>
            <w:tcW w:w="6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auto"/>
              </w:rPr>
            </w:pPr>
            <w:r>
              <w:rPr>
                <w:rFonts w:ascii="黑体" w:hAnsi="黑体" w:eastAsia="黑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52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val="0"/>
              <w:pageBreakBefore w:val="0"/>
              <w:widowControl/>
              <w:kinsoku/>
              <w:wordWrap/>
              <w:overflowPunct/>
              <w:topLinePunct w:val="0"/>
              <w:autoSpaceDE/>
              <w:autoSpaceDN/>
              <w:bidi w:val="0"/>
              <w:adjustRightInd/>
              <w:snapToGrid/>
              <w:spacing w:after="180"/>
              <w:jc w:val="center"/>
              <w:textAlignment w:val="auto"/>
              <w:rPr>
                <w:rFonts w:hint="eastAsia" w:ascii="Times New Roman" w:hAnsi="Times New Roman" w:eastAsia="仿宋_GB2312"/>
                <w:color w:val="auto"/>
                <w:lang w:val="en-US" w:eastAsia="zh-CN"/>
              </w:rPr>
            </w:pPr>
            <w:r>
              <w:rPr>
                <w:rFonts w:hint="eastAsia" w:ascii="Times New Roman"/>
                <w:color w:val="auto"/>
                <w:lang w:val="en-US" w:eastAsia="zh-CN"/>
              </w:rPr>
              <w:t>0</w:t>
            </w:r>
          </w:p>
        </w:tc>
      </w:tr>
    </w:tbl>
    <w:p>
      <w:pPr>
        <w:keepNext/>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五、存在的主要问题及改进情况</w:t>
      </w:r>
    </w:p>
    <w:p>
      <w:pPr>
        <w:pStyle w:val="6"/>
        <w:keepNext/>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(一）存在问题</w:t>
      </w:r>
    </w:p>
    <w:p>
      <w:pPr>
        <w:pStyle w:val="6"/>
        <w:keepNext/>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eastAsia="仿宋_GB2312"/>
          <w:color w:val="auto"/>
          <w:sz w:val="32"/>
          <w:szCs w:val="32"/>
        </w:rPr>
        <w:t>202</w:t>
      </w:r>
      <w:r>
        <w:rPr>
          <w:rFonts w:hint="eastAsia"/>
          <w:color w:val="auto"/>
          <w:sz w:val="32"/>
          <w:szCs w:val="32"/>
          <w:lang w:val="en-US" w:eastAsia="zh-CN"/>
        </w:rPr>
        <w:t>2</w:t>
      </w:r>
      <w:r>
        <w:rPr>
          <w:rFonts w:hint="eastAsia" w:ascii="仿宋_GB2312" w:eastAsia="仿宋_GB2312"/>
          <w:color w:val="auto"/>
          <w:sz w:val="32"/>
          <w:szCs w:val="32"/>
        </w:rPr>
        <w:t>年，我单位在政府信息公开工作上虽然取得了一些成绩，但对照市级要求，仍存在一定的差距。主要表现在</w:t>
      </w:r>
      <w:r>
        <w:rPr>
          <w:rFonts w:hint="eastAsia"/>
          <w:color w:val="auto"/>
          <w:sz w:val="32"/>
          <w:szCs w:val="32"/>
          <w:lang w:eastAsia="zh-CN"/>
        </w:rPr>
        <w:t>：一是</w:t>
      </w:r>
      <w:r>
        <w:rPr>
          <w:rFonts w:hint="eastAsia" w:ascii="仿宋_GB2312" w:hAnsi="Times New Roman" w:eastAsia="仿宋_GB2312" w:cs="Times New Roman"/>
          <w:color w:val="auto"/>
          <w:kern w:val="2"/>
          <w:sz w:val="32"/>
          <w:szCs w:val="32"/>
          <w:lang w:val="en-US" w:eastAsia="zh-CN" w:bidi="ar-SA"/>
        </w:rPr>
        <w:t>政府信息公开时效性不强、深度不够、质量不高</w:t>
      </w:r>
      <w:r>
        <w:rPr>
          <w:rFonts w:hint="eastAsia" w:cs="Times New Roman"/>
          <w:color w:val="auto"/>
          <w:kern w:val="2"/>
          <w:sz w:val="32"/>
          <w:szCs w:val="32"/>
          <w:lang w:val="en-US" w:eastAsia="zh-CN" w:bidi="ar-SA"/>
        </w:rPr>
        <w:t>，解读公开最新的政策文件还需进一步加强；</w:t>
      </w:r>
      <w:r>
        <w:rPr>
          <w:rFonts w:hint="eastAsia" w:ascii="仿宋_GB2312" w:hAnsi="Times New Roman" w:eastAsia="仿宋_GB2312" w:cs="Times New Roman"/>
          <w:b w:val="0"/>
          <w:bCs w:val="0"/>
          <w:color w:val="auto"/>
          <w:kern w:val="0"/>
          <w:sz w:val="32"/>
          <w:szCs w:val="32"/>
          <w:lang w:val="en-US" w:eastAsia="zh-CN" w:bidi="ar"/>
        </w:rPr>
        <w:t>二是主动回应关切比较单一，内容较少，创新性不足。</w:t>
      </w:r>
    </w:p>
    <w:p>
      <w:pPr>
        <w:pStyle w:val="6"/>
        <w:keepNext/>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Times New Roman" w:eastAsia="仿宋_GB2312" w:cs="Times New Roman"/>
          <w:color w:val="auto"/>
          <w:kern w:val="2"/>
          <w:sz w:val="32"/>
          <w:szCs w:val="32"/>
          <w:lang w:val="en-US" w:eastAsia="zh-CN" w:bidi="ar-SA"/>
        </w:rPr>
      </w:pPr>
      <w:r>
        <w:rPr>
          <w:rFonts w:hint="eastAsia" w:ascii="楷体_GB2312" w:hAnsi="楷体_GB2312" w:eastAsia="楷体_GB2312" w:cs="楷体_GB2312"/>
          <w:color w:val="auto"/>
          <w:sz w:val="32"/>
          <w:szCs w:val="32"/>
          <w:lang w:val="en-US" w:eastAsia="zh-CN"/>
        </w:rPr>
        <w:t>（二）改进措施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640"/>
        <w:jc w:val="both"/>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一是及时解读职工普通门诊、生育保险待遇等公众迫切关心的最新政策；加强各科室之间的信息联动性,以防出现信息发布不及时或存在遗漏现象。二是积极谋划主动回应关切事项，通过政务公开和今日招远、金都招远等平台，做到医保政策全面、及时、高质量地公开。</w:t>
      </w:r>
    </w:p>
    <w:p>
      <w:pPr>
        <w:keepNext/>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六、其他需要报告的事项</w:t>
      </w:r>
    </w:p>
    <w:p>
      <w:pPr>
        <w:keepNext/>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（一）收取信息处理费情况</w:t>
      </w:r>
    </w:p>
    <w:p>
      <w:pPr>
        <w:keepNext/>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市</w:t>
      </w:r>
      <w:r>
        <w:rPr>
          <w:rFonts w:hint="eastAsia" w:hAnsi="仿宋_GB2312" w:cs="仿宋_GB2312"/>
          <w:color w:val="auto"/>
          <w:lang w:val="en-US" w:eastAsia="zh-CN"/>
        </w:rPr>
        <w:t>医保</w:t>
      </w:r>
      <w:r>
        <w:rPr>
          <w:rFonts w:hint="eastAsia" w:ascii="仿宋_GB2312" w:hAnsi="仿宋_GB2312" w:eastAsia="仿宋_GB2312" w:cs="仿宋_GB2312"/>
          <w:color w:val="auto"/>
          <w:lang w:val="en-US" w:eastAsia="zh-CN"/>
        </w:rPr>
        <w:t>局严格依据《</w:t>
      </w:r>
      <w:r>
        <w:rPr>
          <w:rFonts w:hint="eastAsia" w:hAnsi="仿宋_GB2312" w:cs="仿宋_GB2312"/>
          <w:color w:val="auto"/>
          <w:lang w:val="en-US" w:eastAsia="zh-CN"/>
        </w:rPr>
        <w:t>国务院办公厅关于印发&lt;</w:t>
      </w:r>
      <w:r>
        <w:rPr>
          <w:rFonts w:hint="eastAsia" w:ascii="仿宋_GB2312" w:hAnsi="仿宋_GB2312" w:eastAsia="仿宋_GB2312" w:cs="仿宋_GB2312"/>
          <w:color w:val="auto"/>
          <w:lang w:val="en-US" w:eastAsia="zh-CN"/>
        </w:rPr>
        <w:t>政府信息公开信息处理费管理办法</w:t>
      </w:r>
      <w:r>
        <w:rPr>
          <w:rFonts w:hint="eastAsia" w:hAnsi="仿宋_GB2312" w:cs="仿宋_GB2312"/>
          <w:color w:val="auto"/>
          <w:lang w:val="en-US" w:eastAsia="zh-CN"/>
        </w:rPr>
        <w:t>&gt;的通知</w:t>
      </w:r>
      <w:r>
        <w:rPr>
          <w:rFonts w:hint="eastAsia" w:ascii="仿宋_GB2312" w:hAnsi="仿宋_GB2312" w:eastAsia="仿宋_GB2312" w:cs="仿宋_GB2312"/>
          <w:color w:val="auto"/>
          <w:lang w:val="en-US" w:eastAsia="zh-CN"/>
        </w:rPr>
        <w:t>》</w:t>
      </w:r>
      <w:r>
        <w:rPr>
          <w:rFonts w:hint="eastAsia" w:hAnsi="仿宋_GB2312" w:cs="仿宋_GB2312"/>
          <w:color w:val="auto"/>
          <w:lang w:val="en-US" w:eastAsia="zh-CN"/>
        </w:rPr>
        <w:t>（国办函</w:t>
      </w:r>
      <w:r>
        <w:rPr>
          <w:rFonts w:hint="eastAsia" w:ascii="微软雅黑" w:hAnsi="微软雅黑" w:eastAsia="微软雅黑" w:cs="微软雅黑"/>
          <w:color w:val="auto"/>
          <w:lang w:val="en-US" w:eastAsia="zh-CN"/>
        </w:rPr>
        <w:t>〔</w:t>
      </w:r>
      <w:r>
        <w:rPr>
          <w:rFonts w:hint="eastAsia" w:hAnsi="仿宋_GB2312" w:cs="仿宋_GB2312"/>
          <w:color w:val="auto"/>
          <w:lang w:val="en-US" w:eastAsia="zh-CN"/>
        </w:rPr>
        <w:t>2020</w:t>
      </w:r>
      <w:r>
        <w:rPr>
          <w:rFonts w:hint="eastAsia" w:ascii="微软雅黑" w:hAnsi="微软雅黑" w:eastAsia="微软雅黑" w:cs="微软雅黑"/>
          <w:color w:val="auto"/>
          <w:lang w:val="en-US" w:eastAsia="zh-CN"/>
        </w:rPr>
        <w:t>〕</w:t>
      </w:r>
      <w:r>
        <w:rPr>
          <w:rFonts w:hint="eastAsia" w:hAnsi="仿宋_GB2312" w:cs="仿宋_GB2312"/>
          <w:color w:val="auto"/>
          <w:lang w:val="en-US" w:eastAsia="zh-CN"/>
        </w:rPr>
        <w:t>109号）执行</w:t>
      </w:r>
      <w:r>
        <w:rPr>
          <w:rFonts w:hint="eastAsia" w:ascii="仿宋_GB2312" w:hAnsi="仿宋_GB2312" w:eastAsia="仿宋_GB2312" w:cs="仿宋_GB2312"/>
          <w:color w:val="auto"/>
          <w:lang w:val="en-US" w:eastAsia="zh-CN"/>
        </w:rPr>
        <w:t>。202</w:t>
      </w:r>
      <w:r>
        <w:rPr>
          <w:rFonts w:hint="eastAsia" w:hAnsi="仿宋_GB2312" w:cs="仿宋_GB2312"/>
          <w:color w:val="auto"/>
          <w:lang w:val="en-US" w:eastAsia="zh-CN"/>
        </w:rPr>
        <w:t>2</w:t>
      </w:r>
      <w:r>
        <w:rPr>
          <w:rFonts w:hint="eastAsia" w:ascii="仿宋_GB2312" w:hAnsi="仿宋_GB2312" w:eastAsia="仿宋_GB2312" w:cs="仿宋_GB2312"/>
          <w:color w:val="auto"/>
          <w:lang w:val="en-US" w:eastAsia="zh-CN"/>
        </w:rPr>
        <w:t>年，我局政府信息公开未收取任何费用，所有公开的信息</w:t>
      </w:r>
      <w:r>
        <w:rPr>
          <w:rFonts w:hint="eastAsia" w:hAnsi="仿宋_GB2312" w:cs="仿宋_GB2312"/>
          <w:color w:val="auto"/>
          <w:lang w:val="en-US" w:eastAsia="zh-CN"/>
        </w:rPr>
        <w:t>均</w:t>
      </w:r>
      <w:r>
        <w:rPr>
          <w:rFonts w:hint="eastAsia" w:ascii="仿宋_GB2312" w:hAnsi="仿宋_GB2312" w:eastAsia="仿宋_GB2312" w:cs="仿宋_GB2312"/>
          <w:color w:val="auto"/>
          <w:lang w:val="en-US" w:eastAsia="zh-CN"/>
        </w:rPr>
        <w:t>为无偿提供。</w:t>
      </w:r>
    </w:p>
    <w:p>
      <w:pPr>
        <w:keepNext/>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left"/>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（二）落实上级年度政务公开工作要点情况</w:t>
      </w:r>
    </w:p>
    <w:p>
      <w:pPr>
        <w:keepNext/>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hAnsi="仿宋_GB2312" w:cs="仿宋_GB2312"/>
          <w:color w:val="auto"/>
          <w:kern w:val="0"/>
          <w:sz w:val="32"/>
          <w:szCs w:val="32"/>
          <w:lang w:val="en-US" w:eastAsia="zh-CN"/>
        </w:rPr>
      </w:pPr>
      <w:r>
        <w:rPr>
          <w:rFonts w:hint="eastAsia" w:ascii="仿宋_GB2312" w:hAnsi="仿宋_GB2312" w:eastAsia="仿宋_GB2312" w:cs="仿宋_GB2312"/>
          <w:color w:val="auto"/>
          <w:lang w:val="en-US" w:eastAsia="zh-CN"/>
        </w:rPr>
        <w:t>按照《招远市202</w:t>
      </w:r>
      <w:r>
        <w:rPr>
          <w:rFonts w:hint="eastAsia" w:hAnsi="仿宋_GB2312" w:cs="仿宋_GB2312"/>
          <w:color w:val="auto"/>
          <w:lang w:val="en-US" w:eastAsia="zh-CN"/>
        </w:rPr>
        <w:t>2</w:t>
      </w:r>
      <w:r>
        <w:rPr>
          <w:rFonts w:hint="eastAsia" w:ascii="仿宋_GB2312" w:hAnsi="仿宋_GB2312" w:eastAsia="仿宋_GB2312" w:cs="仿宋_GB2312"/>
          <w:color w:val="auto"/>
          <w:lang w:val="en-US" w:eastAsia="zh-CN"/>
        </w:rPr>
        <w:t>年政务公开工作要点》有关要求，认真做好民生实事落实情况、政府工作报告承担事项等相关内容公开工作。2022年，我局先后完成国家、省药品集中带量采购</w:t>
      </w:r>
      <w:r>
        <w:rPr>
          <w:rFonts w:hint="default" w:ascii="仿宋_GB2312" w:hAnsi="仿宋_GB2312" w:eastAsia="仿宋_GB2312" w:cs="仿宋_GB2312"/>
          <w:color w:val="auto"/>
          <w:lang w:val="en-US" w:eastAsia="zh-CN"/>
        </w:rPr>
        <w:t>9</w:t>
      </w:r>
      <w:r>
        <w:rPr>
          <w:rFonts w:hint="eastAsia" w:ascii="仿宋_GB2312" w:hAnsi="仿宋_GB2312" w:eastAsia="仿宋_GB2312" w:cs="仿宋_GB2312"/>
          <w:color w:val="auto"/>
          <w:lang w:val="en-US" w:eastAsia="zh-CN"/>
        </w:rPr>
        <w:t>批次3</w:t>
      </w:r>
      <w:r>
        <w:rPr>
          <w:rFonts w:hint="default" w:ascii="仿宋_GB2312" w:hAnsi="仿宋_GB2312" w:eastAsia="仿宋_GB2312" w:cs="仿宋_GB2312"/>
          <w:color w:val="auto"/>
          <w:lang w:val="en-US" w:eastAsia="zh-CN"/>
        </w:rPr>
        <w:t>81</w:t>
      </w:r>
      <w:r>
        <w:rPr>
          <w:rFonts w:hint="eastAsia" w:ascii="仿宋_GB2312" w:hAnsi="仿宋_GB2312" w:eastAsia="仿宋_GB2312" w:cs="仿宋_GB2312"/>
          <w:color w:val="auto"/>
          <w:lang w:val="en-US" w:eastAsia="zh-CN"/>
        </w:rPr>
        <w:t>品种药</w:t>
      </w:r>
      <w:r>
        <w:rPr>
          <w:rFonts w:hint="eastAsia" w:ascii="仿宋_GB2312" w:hAnsi="仿宋_GB2312" w:eastAsia="仿宋_GB2312" w:cs="仿宋_GB2312"/>
          <w:color w:val="auto"/>
          <w:sz w:val="32"/>
          <w:szCs w:val="32"/>
          <w:lang w:val="en-US" w:eastAsia="zh-CN"/>
        </w:rPr>
        <w:t>品和耗材集中带量采购7个批次落地，降费均达到50%以上，</w:t>
      </w:r>
      <w:r>
        <w:rPr>
          <w:rFonts w:hint="default" w:ascii="仿宋_GB2312" w:hAnsi="仿宋_GB2312" w:eastAsia="仿宋_GB2312" w:cs="仿宋_GB2312"/>
          <w:i w:val="0"/>
          <w:iCs w:val="0"/>
          <w:caps w:val="0"/>
          <w:color w:val="auto"/>
          <w:spacing w:val="0"/>
          <w:kern w:val="0"/>
          <w:sz w:val="32"/>
          <w:szCs w:val="32"/>
          <w:u w:val="none"/>
          <w:shd w:val="clear" w:fill="FFFFFF"/>
          <w:lang w:eastAsia="zh-Hans" w:bidi="ar"/>
        </w:rPr>
        <w:t>及时调整特殊人员1126</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人</w:t>
      </w:r>
      <w:r>
        <w:rPr>
          <w:rFonts w:hint="default" w:ascii="仿宋_GB2312" w:hAnsi="仿宋_GB2312" w:eastAsia="仿宋_GB2312" w:cs="仿宋_GB2312"/>
          <w:i w:val="0"/>
          <w:iCs w:val="0"/>
          <w:caps w:val="0"/>
          <w:color w:val="auto"/>
          <w:spacing w:val="0"/>
          <w:kern w:val="0"/>
          <w:sz w:val="32"/>
          <w:szCs w:val="32"/>
          <w:u w:val="none"/>
          <w:shd w:val="clear" w:fill="FFFFFF"/>
          <w:lang w:eastAsia="zh-Hans"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医疗救助</w:t>
      </w:r>
      <w:r>
        <w:rPr>
          <w:rFonts w:hint="default" w:ascii="仿宋_GB2312" w:hAnsi="仿宋_GB2312" w:eastAsia="仿宋_GB2312" w:cs="仿宋_GB2312"/>
          <w:i w:val="0"/>
          <w:iCs w:val="0"/>
          <w:caps w:val="0"/>
          <w:color w:val="auto"/>
          <w:spacing w:val="0"/>
          <w:kern w:val="0"/>
          <w:sz w:val="32"/>
          <w:szCs w:val="32"/>
          <w:u w:val="none"/>
          <w:shd w:val="clear" w:fill="FFFFFF"/>
          <w:lang w:eastAsia="zh-Hans" w:bidi="ar"/>
        </w:rPr>
        <w:t>12741人，医疗总费用6411440元。</w:t>
      </w:r>
    </w:p>
    <w:p>
      <w:pPr>
        <w:keepNext/>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left"/>
        <w:textAlignment w:val="auto"/>
        <w:outlineLvl w:val="9"/>
        <w:rPr>
          <w:rFonts w:hint="eastAsia"/>
          <w:color w:val="auto"/>
          <w:sz w:val="32"/>
          <w:szCs w:val="32"/>
          <w:lang w:val="en-US" w:eastAsia="zh-CN"/>
        </w:rPr>
      </w:pPr>
      <w:r>
        <w:rPr>
          <w:rFonts w:hint="eastAsia" w:ascii="楷体_GB2312" w:hAnsi="楷体_GB2312" w:eastAsia="楷体_GB2312" w:cs="楷体_GB2312"/>
          <w:color w:val="auto"/>
          <w:kern w:val="0"/>
          <w:sz w:val="32"/>
          <w:szCs w:val="32"/>
          <w:lang w:val="en-US" w:eastAsia="zh-CN"/>
        </w:rPr>
        <w:t xml:space="preserve">（三）人大代表建议和政协提案办理结果公开情况 </w:t>
      </w:r>
    </w:p>
    <w:p>
      <w:pPr>
        <w:keepNext/>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olor w:val="auto"/>
          <w:sz w:val="32"/>
          <w:szCs w:val="32"/>
        </w:rPr>
      </w:pPr>
      <w:r>
        <w:rPr>
          <w:rFonts w:hint="eastAsia"/>
          <w:color w:val="auto"/>
          <w:sz w:val="32"/>
          <w:szCs w:val="32"/>
          <w:lang w:val="en-US" w:eastAsia="zh-CN"/>
        </w:rPr>
        <w:t>2022年</w:t>
      </w:r>
      <w:r>
        <w:rPr>
          <w:rFonts w:hint="eastAsia" w:ascii="仿宋_GB2312" w:eastAsia="仿宋_GB2312"/>
          <w:color w:val="auto"/>
          <w:sz w:val="32"/>
          <w:szCs w:val="32"/>
        </w:rPr>
        <w:t>共承办人大建议、政协提案</w:t>
      </w:r>
      <w:r>
        <w:rPr>
          <w:rFonts w:hint="eastAsia"/>
          <w:color w:val="auto"/>
          <w:sz w:val="32"/>
          <w:szCs w:val="32"/>
          <w:lang w:val="en-US" w:eastAsia="zh-CN"/>
        </w:rPr>
        <w:t>2</w:t>
      </w:r>
      <w:r>
        <w:rPr>
          <w:rFonts w:hint="eastAsia" w:ascii="仿宋_GB2312" w:eastAsia="仿宋_GB2312"/>
          <w:color w:val="auto"/>
          <w:sz w:val="32"/>
          <w:szCs w:val="32"/>
        </w:rPr>
        <w:t>件，其中政协提案</w:t>
      </w:r>
      <w:r>
        <w:rPr>
          <w:rFonts w:hint="eastAsia"/>
          <w:color w:val="auto"/>
          <w:sz w:val="32"/>
          <w:szCs w:val="32"/>
          <w:lang w:val="en-US" w:eastAsia="zh-CN"/>
        </w:rPr>
        <w:t>2</w:t>
      </w:r>
      <w:r>
        <w:rPr>
          <w:rFonts w:hint="eastAsia" w:ascii="仿宋_GB2312" w:eastAsia="仿宋_GB2312"/>
          <w:color w:val="auto"/>
          <w:sz w:val="32"/>
          <w:szCs w:val="32"/>
        </w:rPr>
        <w:t>件，内容主要</w:t>
      </w:r>
      <w:r>
        <w:rPr>
          <w:rFonts w:hint="eastAsia"/>
          <w:color w:val="auto"/>
          <w:sz w:val="32"/>
          <w:szCs w:val="32"/>
          <w:lang w:eastAsia="zh-CN"/>
        </w:rPr>
        <w:t>涉及</w:t>
      </w:r>
      <w:r>
        <w:rPr>
          <w:rFonts w:hint="eastAsia" w:ascii="仿宋_GB2312" w:eastAsia="仿宋_GB2312"/>
          <w:color w:val="auto"/>
          <w:sz w:val="32"/>
          <w:szCs w:val="32"/>
        </w:rPr>
        <w:t>困难群众医疗救助、医保个人账户的使用管理情况等方面。截至</w:t>
      </w:r>
      <w:r>
        <w:rPr>
          <w:rFonts w:hint="eastAsia"/>
          <w:color w:val="auto"/>
          <w:sz w:val="32"/>
          <w:szCs w:val="32"/>
          <w:lang w:val="en-US" w:eastAsia="zh-CN"/>
        </w:rPr>
        <w:t>6</w:t>
      </w:r>
      <w:r>
        <w:rPr>
          <w:rFonts w:hint="eastAsia" w:ascii="仿宋_GB2312" w:eastAsia="仿宋_GB2312"/>
          <w:color w:val="auto"/>
          <w:sz w:val="32"/>
          <w:szCs w:val="32"/>
        </w:rPr>
        <w:t>月底，我局负责的建议、提案全部办理完毕，办结率为100%，人大代表、政协委员对办理工作表示满意，所提出的问题全部得到解决。同时，根据要求及时将人大建议、政协提案办理复文在招远市政府门户网站进行了主动公开，接受社会监督。</w:t>
      </w:r>
    </w:p>
    <w:p>
      <w:pPr>
        <w:keepNext/>
        <w:keepLines w:val="0"/>
        <w:pageBreakBefore w:val="0"/>
        <w:widowControl/>
        <w:numPr>
          <w:ilvl w:val="0"/>
          <w:numId w:val="0"/>
        </w:numPr>
        <w:kinsoku/>
        <w:wordWrap/>
        <w:overflowPunct/>
        <w:topLinePunct w:val="0"/>
        <w:autoSpaceDE/>
        <w:autoSpaceDN/>
        <w:bidi w:val="0"/>
        <w:adjustRightInd/>
        <w:snapToGrid/>
        <w:spacing w:line="560" w:lineRule="exact"/>
        <w:ind w:leftChars="200" w:right="0"/>
        <w:jc w:val="left"/>
        <w:textAlignment w:val="auto"/>
        <w:outlineLvl w:val="9"/>
        <w:rPr>
          <w:rFonts w:hint="eastAsia" w:hAnsi="仿宋_GB2312" w:cs="仿宋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（四）政务公开工作创新情况</w:t>
      </w:r>
    </w:p>
    <w:p>
      <w:pPr>
        <w:keepNext/>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楷体_GB2312" w:hAnsi="楷体_GB2312" w:eastAsia="楷体_GB2312" w:cs="楷体_GB2312"/>
          <w:color w:val="auto"/>
          <w:kern w:val="0"/>
          <w:sz w:val="32"/>
          <w:szCs w:val="32"/>
          <w:lang w:val="en-US" w:eastAsia="zh-CN" w:bidi="ar"/>
        </w:rPr>
        <w:t>1.积极开展举办政府开放月活动。</w:t>
      </w:r>
      <w:r>
        <w:rPr>
          <w:rFonts w:hint="eastAsia" w:hAnsi="仿宋_GB2312" w:cs="仿宋_GB2312"/>
          <w:b w:val="0"/>
          <w:bCs w:val="0"/>
          <w:color w:val="auto"/>
          <w:kern w:val="0"/>
          <w:sz w:val="32"/>
          <w:szCs w:val="32"/>
          <w:lang w:val="en-US" w:eastAsia="zh-CN"/>
        </w:rPr>
        <w:t>2022年度，我局共举办1次政府开放月活动，工作人员全程详细解说，参与人员沉浸体验，切实提高群众</w:t>
      </w:r>
      <w:r>
        <w:rPr>
          <w:rFonts w:hint="eastAsia" w:ascii="仿宋_GB2312" w:hAnsi="仿宋_GB2312" w:eastAsia="仿宋_GB2312" w:cs="仿宋_GB2312"/>
          <w:i w:val="0"/>
          <w:iCs w:val="0"/>
          <w:caps w:val="0"/>
          <w:color w:val="auto"/>
          <w:spacing w:val="0"/>
          <w:kern w:val="0"/>
          <w:sz w:val="32"/>
          <w:szCs w:val="32"/>
          <w:u w:val="none"/>
          <w:lang w:val="en-US" w:eastAsia="zh-CN" w:bidi="ar"/>
        </w:rPr>
        <w:t>对医保工作的办事流程以及信息化、智慧化服务手段的了解。</w:t>
      </w:r>
    </w:p>
    <w:p>
      <w:pPr>
        <w:keepNext/>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hAnsi="仿宋_GB2312" w:cs="仿宋_GB2312"/>
          <w:b w:val="0"/>
          <w:bCs w:val="0"/>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bidi="ar"/>
        </w:rPr>
        <w:t>2.努力提升群众满意度。</w:t>
      </w:r>
      <w:r>
        <w:rPr>
          <w:rFonts w:hint="eastAsia" w:hAnsi="仿宋_GB2312" w:cs="仿宋_GB2312"/>
          <w:b w:val="0"/>
          <w:bCs w:val="0"/>
          <w:color w:val="auto"/>
          <w:kern w:val="0"/>
          <w:sz w:val="32"/>
          <w:szCs w:val="32"/>
          <w:lang w:val="en-US" w:eastAsia="zh-CN"/>
        </w:rPr>
        <w:t>2022年，我局</w:t>
      </w:r>
      <w:r>
        <w:rPr>
          <w:rFonts w:hint="eastAsia" w:ascii="仿宋_GB2312" w:hAnsi="仿宋_GB2312" w:eastAsia="仿宋_GB2312" w:cs="仿宋_GB2312"/>
          <w:color w:val="auto"/>
          <w:sz w:val="32"/>
          <w:szCs w:val="32"/>
          <w:lang w:val="en-US" w:eastAsia="zh-Hans"/>
        </w:rPr>
        <w:t>联合玲珑英诚医院工作人员开展</w:t>
      </w:r>
      <w:r>
        <w:rPr>
          <w:rFonts w:hint="eastAsia" w:hAnsi="仿宋_GB2312" w:cs="仿宋_GB2312"/>
          <w:color w:val="auto"/>
          <w:sz w:val="32"/>
          <w:szCs w:val="32"/>
          <w:lang w:val="en-US" w:eastAsia="zh-CN"/>
        </w:rPr>
        <w:t>2次</w:t>
      </w:r>
      <w:r>
        <w:rPr>
          <w:rFonts w:hint="eastAsia" w:ascii="仿宋_GB2312" w:hAnsi="仿宋_GB2312" w:eastAsia="仿宋_GB2312" w:cs="仿宋_GB2312"/>
          <w:color w:val="auto"/>
          <w:sz w:val="32"/>
          <w:szCs w:val="32"/>
          <w:lang w:val="en-US" w:eastAsia="zh-Hans"/>
        </w:rPr>
        <w:t>“医保政策进村居暨送健康义诊”下乡活动</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lang w:val="en-US" w:eastAsia="zh-Hans"/>
        </w:rPr>
        <w:t>全市</w:t>
      </w:r>
      <w:r>
        <w:rPr>
          <w:rFonts w:hint="default" w:ascii="仿宋_GB2312" w:hAnsi="仿宋_GB2312" w:eastAsia="仿宋_GB2312" w:cs="仿宋_GB2312"/>
          <w:color w:val="auto"/>
          <w:sz w:val="32"/>
          <w:szCs w:val="32"/>
          <w:lang w:eastAsia="zh-Hans"/>
        </w:rPr>
        <w:t>23</w:t>
      </w:r>
      <w:r>
        <w:rPr>
          <w:rFonts w:hint="eastAsia" w:ascii="仿宋_GB2312" w:hAnsi="仿宋_GB2312" w:eastAsia="仿宋_GB2312" w:cs="仿宋_GB2312"/>
          <w:color w:val="auto"/>
          <w:sz w:val="32"/>
          <w:szCs w:val="32"/>
          <w:lang w:val="en-US" w:eastAsia="zh-Hans"/>
        </w:rPr>
        <w:t>家</w:t>
      </w:r>
      <w:r>
        <w:rPr>
          <w:rFonts w:hint="eastAsia" w:ascii="仿宋_GB2312" w:hAnsi="仿宋_GB2312" w:eastAsia="仿宋_GB2312" w:cs="仿宋_GB2312"/>
          <w:color w:val="auto"/>
          <w:sz w:val="32"/>
          <w:szCs w:val="32"/>
          <w:lang w:val="en-US" w:eastAsia="zh-CN"/>
        </w:rPr>
        <w:t>定点医疗机构设立医保服务专区，加大对医保政策、结算流程等惠民政策的宣传力度</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通过招远融媒、金都招远、</w:t>
      </w:r>
      <w:r>
        <w:rPr>
          <w:rFonts w:hint="eastAsia" w:ascii="仿宋_GB2312" w:hAnsi="仿宋_GB2312" w:eastAsia="仿宋_GB2312" w:cs="仿宋_GB2312"/>
          <w:color w:val="auto"/>
          <w:sz w:val="32"/>
          <w:szCs w:val="32"/>
          <w:lang w:val="en-US" w:eastAsia="zh-Hans"/>
        </w:rPr>
        <w:t>今日招远</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en-US" w:eastAsia="zh-Hans"/>
        </w:rPr>
        <w:t>报纸和微信公众号</w:t>
      </w:r>
      <w:r>
        <w:rPr>
          <w:rFonts w:hint="eastAsia" w:ascii="仿宋_GB2312" w:hAnsi="仿宋_GB2312" w:eastAsia="仿宋_GB2312" w:cs="仿宋_GB2312"/>
          <w:color w:val="auto"/>
          <w:sz w:val="32"/>
          <w:szCs w:val="32"/>
          <w:lang w:val="en-US" w:eastAsia="zh-CN"/>
        </w:rPr>
        <w:t>大力宣传医疗保障工作，提升医保政策的社会知晓度</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切实解决群众“急难愁盼”问题</w:t>
      </w:r>
      <w:r>
        <w:rPr>
          <w:rFonts w:hint="eastAsia" w:hAnsi="仿宋_GB2312" w:cs="仿宋_GB2312"/>
          <w:color w:val="auto"/>
          <w:sz w:val="32"/>
          <w:szCs w:val="32"/>
          <w:lang w:val="en-US" w:eastAsia="zh-CN"/>
        </w:rPr>
        <w:t>。</w:t>
      </w:r>
    </w:p>
    <w:p>
      <w:pPr>
        <w:widowControl/>
        <w:numPr>
          <w:ilvl w:val="0"/>
          <w:numId w:val="2"/>
        </w:numPr>
        <w:wordWrap/>
        <w:adjustRightInd/>
        <w:snapToGrid/>
        <w:spacing w:line="560" w:lineRule="exact"/>
        <w:ind w:left="0" w:leftChars="0" w:right="0" w:firstLine="640" w:firstLineChars="200"/>
        <w:jc w:val="left"/>
        <w:textAlignment w:val="auto"/>
        <w:outlineLvl w:val="9"/>
        <w:rPr>
          <w:rFonts w:hint="eastAsia" w:ascii="楷体_GB2312" w:hAnsi="Times New Roman" w:eastAsia="楷体_GB2312" w:cs="楷体_GB2312"/>
          <w:i w:val="0"/>
          <w:iCs w:val="0"/>
          <w:caps w:val="0"/>
          <w:color w:val="auto"/>
          <w:spacing w:val="0"/>
          <w:sz w:val="32"/>
          <w:szCs w:val="32"/>
        </w:rPr>
      </w:pPr>
      <w:r>
        <w:rPr>
          <w:rFonts w:hint="eastAsia" w:ascii="楷体_GB2312" w:hAnsi="Times New Roman" w:eastAsia="楷体_GB2312" w:cs="楷体_GB2312"/>
          <w:i w:val="0"/>
          <w:iCs w:val="0"/>
          <w:caps w:val="0"/>
          <w:color w:val="auto"/>
          <w:spacing w:val="0"/>
          <w:sz w:val="32"/>
          <w:szCs w:val="32"/>
        </w:rPr>
        <w:t>年度报告数据统计需要说明的事项</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hAnsi="仿宋_GB2312" w:cs="仿宋_GB2312"/>
          <w:i w:val="0"/>
          <w:iCs w:val="0"/>
          <w:caps w:val="0"/>
          <w:color w:val="auto"/>
          <w:spacing w:val="0"/>
          <w:sz w:val="32"/>
          <w:szCs w:val="32"/>
          <w:lang w:eastAsia="zh-CN"/>
        </w:rPr>
        <w:t>市</w:t>
      </w:r>
      <w:r>
        <w:rPr>
          <w:rFonts w:hint="eastAsia" w:hAnsi="仿宋_GB2312" w:cs="仿宋_GB2312"/>
          <w:i w:val="0"/>
          <w:iCs w:val="0"/>
          <w:caps w:val="0"/>
          <w:color w:val="auto"/>
          <w:spacing w:val="0"/>
          <w:sz w:val="32"/>
          <w:szCs w:val="32"/>
          <w:lang w:val="en-US" w:eastAsia="zh-CN"/>
        </w:rPr>
        <w:t>医保局</w:t>
      </w:r>
      <w:r>
        <w:rPr>
          <w:rFonts w:hint="eastAsia" w:ascii="仿宋_GB2312" w:hAnsi="仿宋_GB2312" w:eastAsia="仿宋_GB2312" w:cs="仿宋_GB2312"/>
          <w:i w:val="0"/>
          <w:iCs w:val="0"/>
          <w:caps w:val="0"/>
          <w:color w:val="auto"/>
          <w:spacing w:val="0"/>
          <w:sz w:val="32"/>
          <w:szCs w:val="32"/>
        </w:rPr>
        <w:t>无数据统计需要说明的事项。</w:t>
      </w:r>
    </w:p>
    <w:p>
      <w:pPr>
        <w:pStyle w:val="6"/>
        <w:widowControl/>
        <w:numPr>
          <w:ilvl w:val="0"/>
          <w:numId w:val="2"/>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outlineLvl w:val="9"/>
        <w:rPr>
          <w:rFonts w:hint="eastAsia" w:ascii="楷体_GB2312" w:hAnsi="Times New Roman" w:eastAsia="楷体_GB2312" w:cs="楷体_GB2312"/>
          <w:i w:val="0"/>
          <w:iCs w:val="0"/>
          <w:caps w:val="0"/>
          <w:color w:val="auto"/>
          <w:spacing w:val="0"/>
          <w:sz w:val="32"/>
          <w:szCs w:val="32"/>
        </w:rPr>
      </w:pPr>
      <w:r>
        <w:rPr>
          <w:rFonts w:hint="eastAsia" w:ascii="楷体_GB2312" w:hAnsi="Times New Roman" w:eastAsia="楷体_GB2312" w:cs="楷体_GB2312"/>
          <w:i w:val="0"/>
          <w:iCs w:val="0"/>
          <w:caps w:val="0"/>
          <w:color w:val="auto"/>
          <w:spacing w:val="0"/>
          <w:sz w:val="32"/>
          <w:szCs w:val="32"/>
        </w:rPr>
        <w:t>本机关认为需要报告的其他事项</w:t>
      </w:r>
    </w:p>
    <w:p>
      <w:pPr>
        <w:pStyle w:val="6"/>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outlineLvl w:val="9"/>
        <w:rPr>
          <w:rFonts w:hint="eastAsia" w:ascii="楷体_GB2312" w:hAnsi="Times New Roman" w:eastAsia="楷体_GB2312" w:cs="楷体_GB2312"/>
          <w:i w:val="0"/>
          <w:iCs w:val="0"/>
          <w:caps w:val="0"/>
          <w:color w:val="auto"/>
          <w:spacing w:val="0"/>
          <w:sz w:val="32"/>
          <w:szCs w:val="32"/>
        </w:rPr>
      </w:pPr>
      <w:r>
        <w:rPr>
          <w:rFonts w:hint="eastAsia" w:cs="仿宋_GB2312"/>
          <w:i w:val="0"/>
          <w:iCs w:val="0"/>
          <w:caps w:val="0"/>
          <w:color w:val="auto"/>
          <w:spacing w:val="0"/>
          <w:sz w:val="32"/>
          <w:szCs w:val="32"/>
          <w:lang w:eastAsia="zh-CN"/>
        </w:rPr>
        <w:t>市</w:t>
      </w:r>
      <w:r>
        <w:rPr>
          <w:rFonts w:hint="eastAsia" w:cs="仿宋_GB2312"/>
          <w:i w:val="0"/>
          <w:iCs w:val="0"/>
          <w:caps w:val="0"/>
          <w:color w:val="auto"/>
          <w:spacing w:val="0"/>
          <w:sz w:val="32"/>
          <w:szCs w:val="32"/>
          <w:lang w:val="en-US" w:eastAsia="zh-CN"/>
        </w:rPr>
        <w:t>医保局</w:t>
      </w:r>
      <w:r>
        <w:rPr>
          <w:rFonts w:hint="eastAsia" w:ascii="仿宋_GB2312" w:hAnsi="Times New Roman" w:eastAsia="仿宋_GB2312" w:cs="仿宋_GB2312"/>
          <w:i w:val="0"/>
          <w:iCs w:val="0"/>
          <w:caps w:val="0"/>
          <w:color w:val="auto"/>
          <w:spacing w:val="0"/>
          <w:sz w:val="32"/>
          <w:szCs w:val="32"/>
        </w:rPr>
        <w:t>无需要报告的其他事项。</w:t>
      </w:r>
    </w:p>
    <w:p>
      <w:pPr>
        <w:pStyle w:val="6"/>
        <w:widowControl/>
        <w:numPr>
          <w:ilvl w:val="0"/>
          <w:numId w:val="3"/>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5"/>
        <w:jc w:val="both"/>
        <w:textAlignment w:val="auto"/>
        <w:outlineLvl w:val="9"/>
        <w:rPr>
          <w:rFonts w:hint="eastAsia" w:ascii="楷体_GB2312" w:hAnsi="Times New Roman" w:eastAsia="楷体_GB2312" w:cs="楷体_GB2312"/>
          <w:i w:val="0"/>
          <w:iCs w:val="0"/>
          <w:caps w:val="0"/>
          <w:color w:val="auto"/>
          <w:spacing w:val="0"/>
          <w:sz w:val="32"/>
          <w:szCs w:val="32"/>
        </w:rPr>
      </w:pPr>
      <w:r>
        <w:rPr>
          <w:rFonts w:hint="eastAsia" w:ascii="楷体_GB2312" w:hAnsi="Times New Roman" w:eastAsia="楷体_GB2312" w:cs="楷体_GB2312"/>
          <w:i w:val="0"/>
          <w:iCs w:val="0"/>
          <w:caps w:val="0"/>
          <w:color w:val="auto"/>
          <w:spacing w:val="0"/>
          <w:sz w:val="32"/>
          <w:szCs w:val="32"/>
        </w:rPr>
        <w:t>其他有关文件专门要求通过政府信息公开工作年度报告予以报告的事项</w:t>
      </w:r>
    </w:p>
    <w:p>
      <w:pPr>
        <w:wordWrap/>
        <w:adjustRightInd/>
        <w:snapToGrid/>
        <w:spacing w:line="560" w:lineRule="exact"/>
        <w:ind w:left="0" w:leftChars="0" w:right="0" w:firstLine="640" w:firstLineChars="200"/>
        <w:jc w:val="both"/>
        <w:textAlignment w:val="auto"/>
        <w:outlineLvl w:val="9"/>
        <w:rPr>
          <w:rFonts w:hint="eastAsia" w:ascii="仿宋_GB2312" w:hAnsi="Times New Roman" w:eastAsia="仿宋_GB2312" w:cs="仿宋_GB2312"/>
          <w:i w:val="0"/>
          <w:iCs w:val="0"/>
          <w:caps w:val="0"/>
          <w:color w:val="auto"/>
          <w:spacing w:val="0"/>
          <w:sz w:val="32"/>
          <w:szCs w:val="32"/>
        </w:rPr>
      </w:pPr>
      <w:r>
        <w:rPr>
          <w:rFonts w:hint="eastAsia" w:cs="仿宋_GB2312"/>
          <w:i w:val="0"/>
          <w:iCs w:val="0"/>
          <w:caps w:val="0"/>
          <w:color w:val="auto"/>
          <w:spacing w:val="0"/>
          <w:sz w:val="32"/>
          <w:szCs w:val="32"/>
          <w:lang w:eastAsia="zh-CN"/>
        </w:rPr>
        <w:t>市</w:t>
      </w:r>
      <w:r>
        <w:rPr>
          <w:rFonts w:hint="eastAsia" w:cs="仿宋_GB2312"/>
          <w:i w:val="0"/>
          <w:iCs w:val="0"/>
          <w:caps w:val="0"/>
          <w:color w:val="auto"/>
          <w:spacing w:val="0"/>
          <w:sz w:val="32"/>
          <w:szCs w:val="32"/>
          <w:lang w:val="en-US" w:eastAsia="zh-CN"/>
        </w:rPr>
        <w:t>医保局</w:t>
      </w:r>
      <w:r>
        <w:rPr>
          <w:rFonts w:hint="eastAsia" w:ascii="仿宋_GB2312" w:hAnsi="Times New Roman" w:eastAsia="仿宋_GB2312" w:cs="仿宋_GB2312"/>
          <w:i w:val="0"/>
          <w:iCs w:val="0"/>
          <w:caps w:val="0"/>
          <w:color w:val="auto"/>
          <w:spacing w:val="0"/>
          <w:sz w:val="32"/>
          <w:szCs w:val="32"/>
        </w:rPr>
        <w:t>无</w:t>
      </w:r>
      <w:r>
        <w:rPr>
          <w:rFonts w:hint="eastAsia" w:cs="仿宋_GB2312"/>
          <w:i w:val="0"/>
          <w:iCs w:val="0"/>
          <w:caps w:val="0"/>
          <w:color w:val="auto"/>
          <w:spacing w:val="0"/>
          <w:sz w:val="32"/>
          <w:szCs w:val="32"/>
          <w:lang w:eastAsia="zh-CN"/>
        </w:rPr>
        <w:t>其他有关文件专门要求</w:t>
      </w:r>
      <w:r>
        <w:rPr>
          <w:rFonts w:hint="eastAsia" w:ascii="仿宋_GB2312" w:hAnsi="Times New Roman" w:eastAsia="仿宋_GB2312" w:cs="仿宋_GB2312"/>
          <w:i w:val="0"/>
          <w:iCs w:val="0"/>
          <w:caps w:val="0"/>
          <w:color w:val="auto"/>
          <w:spacing w:val="0"/>
          <w:sz w:val="32"/>
          <w:szCs w:val="32"/>
        </w:rPr>
        <w:t>通过政府信息公开工作年度报告予以报告的事项。</w:t>
      </w:r>
    </w:p>
    <w:p>
      <w:pPr>
        <w:pStyle w:val="2"/>
        <w:rPr>
          <w:rFonts w:hint="eastAsia" w:ascii="仿宋_GB2312" w:hAnsi="Times New Roman" w:eastAsia="仿宋_GB2312" w:cs="仿宋_GB2312"/>
          <w:i w:val="0"/>
          <w:iCs w:val="0"/>
          <w:caps w:val="0"/>
          <w:color w:val="auto"/>
          <w:spacing w:val="0"/>
          <w:sz w:val="32"/>
          <w:szCs w:val="32"/>
        </w:rPr>
      </w:pPr>
    </w:p>
    <w:p>
      <w:pPr>
        <w:widowControl/>
        <w:numPr>
          <w:ilvl w:val="0"/>
          <w:numId w:val="0"/>
        </w:numPr>
        <w:wordWrap/>
        <w:adjustRightInd/>
        <w:snapToGrid/>
        <w:spacing w:line="560" w:lineRule="exact"/>
        <w:ind w:left="0" w:leftChars="0" w:right="0" w:firstLine="640" w:firstLineChars="200"/>
        <w:jc w:val="center"/>
        <w:textAlignment w:val="auto"/>
        <w:outlineLvl w:val="9"/>
        <w:rPr>
          <w:rFonts w:hint="eastAsia" w:hAnsi="仿宋_GB2312" w:cs="仿宋_GB2312"/>
          <w:b w:val="0"/>
          <w:bCs w:val="0"/>
          <w:color w:val="auto"/>
          <w:kern w:val="0"/>
          <w:sz w:val="32"/>
          <w:szCs w:val="32"/>
          <w:lang w:val="en-US" w:eastAsia="zh-CN"/>
        </w:rPr>
      </w:pPr>
      <w:r>
        <w:rPr>
          <w:rFonts w:hint="eastAsia" w:hAnsi="仿宋_GB2312" w:cs="仿宋_GB2312"/>
          <w:b w:val="0"/>
          <w:bCs w:val="0"/>
          <w:color w:val="auto"/>
          <w:kern w:val="0"/>
          <w:sz w:val="32"/>
          <w:szCs w:val="32"/>
          <w:lang w:val="en-US" w:eastAsia="zh-CN"/>
        </w:rPr>
        <w:t xml:space="preserve">                        招远市医疗保障局</w:t>
      </w:r>
    </w:p>
    <w:p>
      <w:pPr>
        <w:widowControl/>
        <w:numPr>
          <w:ilvl w:val="0"/>
          <w:numId w:val="0"/>
        </w:numPr>
        <w:wordWrap/>
        <w:adjustRightInd/>
        <w:snapToGrid/>
        <w:spacing w:line="560" w:lineRule="exact"/>
        <w:ind w:left="0" w:leftChars="0" w:right="0" w:firstLine="640" w:firstLineChars="200"/>
        <w:jc w:val="both"/>
        <w:textAlignment w:val="auto"/>
        <w:outlineLvl w:val="9"/>
        <w:rPr>
          <w:rFonts w:hint="default" w:ascii="仿宋_GB2312" w:hAnsi="仿宋_GB2312" w:eastAsia="仿宋_GB2312" w:cs="仿宋_GB2312"/>
          <w:color w:val="auto"/>
          <w:kern w:val="0"/>
          <w:sz w:val="32"/>
          <w:szCs w:val="32"/>
          <w:shd w:val="clear" w:color="auto" w:fill="FFFFFF"/>
          <w:lang w:val="en-US" w:eastAsia="zh-CN" w:bidi="ar-SA"/>
        </w:rPr>
      </w:pPr>
      <w:r>
        <w:rPr>
          <w:rFonts w:hint="eastAsia" w:hAnsi="仿宋_GB2312" w:cs="仿宋_GB2312"/>
          <w:b w:val="0"/>
          <w:bCs w:val="0"/>
          <w:color w:val="auto"/>
          <w:kern w:val="0"/>
          <w:sz w:val="32"/>
          <w:szCs w:val="32"/>
          <w:lang w:val="en-US" w:eastAsia="zh-CN"/>
        </w:rPr>
        <w:t xml:space="preserve">                             2023年1月6日</w:t>
      </w:r>
    </w:p>
    <w:p>
      <w:pPr>
        <w:pStyle w:val="2"/>
        <w:rPr>
          <w:rFonts w:hint="eastAsia" w:ascii="仿宋_GB2312" w:hAnsi="Times New Roman" w:eastAsia="仿宋_GB2312" w:cs="仿宋_GB2312"/>
          <w:i w:val="0"/>
          <w:iCs w:val="0"/>
          <w:caps w:val="0"/>
          <w:color w:val="auto"/>
          <w:spacing w:val="0"/>
          <w:sz w:val="32"/>
          <w:szCs w:val="32"/>
          <w:lang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4YDTjj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3BAA7"/>
    <w:multiLevelType w:val="singleLevel"/>
    <w:tmpl w:val="9AA3BAA7"/>
    <w:lvl w:ilvl="0" w:tentative="0">
      <w:start w:val="1"/>
      <w:numFmt w:val="chineseCounting"/>
      <w:suff w:val="nothing"/>
      <w:lvlText w:val="%1、"/>
      <w:lvlJc w:val="left"/>
      <w:rPr>
        <w:rFonts w:hint="eastAsia"/>
      </w:rPr>
    </w:lvl>
  </w:abstractNum>
  <w:abstractNum w:abstractNumId="1">
    <w:nsid w:val="61E51585"/>
    <w:multiLevelType w:val="singleLevel"/>
    <w:tmpl w:val="61E51585"/>
    <w:lvl w:ilvl="0" w:tentative="0">
      <w:start w:val="5"/>
      <w:numFmt w:val="chineseCounting"/>
      <w:suff w:val="nothing"/>
      <w:lvlText w:val="（%1）"/>
      <w:lvlJc w:val="left"/>
    </w:lvl>
  </w:abstractNum>
  <w:abstractNum w:abstractNumId="2">
    <w:nsid w:val="61E515DD"/>
    <w:multiLevelType w:val="singleLevel"/>
    <w:tmpl w:val="61E515DD"/>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YTkyYTViNGZiODcyZGU1YzkwMzliNjdhM2M1ODYifQ=="/>
    <w:docVar w:name="KSO_WPS_MARK_KEY" w:val="dff5b1a8-0255-44ed-8d3b-0ce3b78b8cb8"/>
  </w:docVars>
  <w:rsids>
    <w:rsidRoot w:val="37CB2D69"/>
    <w:rsid w:val="0A1E3055"/>
    <w:rsid w:val="0A5F7805"/>
    <w:rsid w:val="0EE054E8"/>
    <w:rsid w:val="10435717"/>
    <w:rsid w:val="17837B7E"/>
    <w:rsid w:val="1ACD534A"/>
    <w:rsid w:val="1FD75D28"/>
    <w:rsid w:val="20684BD2"/>
    <w:rsid w:val="24541997"/>
    <w:rsid w:val="27E179D2"/>
    <w:rsid w:val="2C491D5B"/>
    <w:rsid w:val="2CDA0C05"/>
    <w:rsid w:val="2FA13FE8"/>
    <w:rsid w:val="36783969"/>
    <w:rsid w:val="37CB2D69"/>
    <w:rsid w:val="3B1654FE"/>
    <w:rsid w:val="45937AEF"/>
    <w:rsid w:val="53B41129"/>
    <w:rsid w:val="5A9164F8"/>
    <w:rsid w:val="64106A74"/>
    <w:rsid w:val="68620768"/>
    <w:rsid w:val="689A2B1D"/>
    <w:rsid w:val="68B93922"/>
    <w:rsid w:val="6EEA22DB"/>
    <w:rsid w:val="764B3B5D"/>
    <w:rsid w:val="784C67D3"/>
    <w:rsid w:val="7CCB0BA0"/>
    <w:rsid w:val="FFEBF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color w:val="000000"/>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仿宋_GB2312" w:eastAsia="仿宋_GB2312"/>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65000"/>
                    <a:lumOff val="35000"/>
                  </a:schemeClr>
                </a:solidFill>
                <a:latin typeface="+mn-lt"/>
                <a:ea typeface="+mn-ea"/>
                <a:cs typeface="+mn-cs"/>
              </a:defRPr>
            </a:pPr>
            <a:r>
              <a:t>市医保局2022年政务公开信息统计（条）</a:t>
            </a:r>
          </a:p>
        </c:rich>
      </c:tx>
      <c:layout/>
      <c:overlay val="0"/>
      <c:spPr>
        <a:noFill/>
        <a:ln>
          <a:noFill/>
        </a:ln>
        <a:effectLst/>
      </c:spPr>
    </c:title>
    <c:autoTitleDeleted val="0"/>
    <c:plotArea>
      <c:layout>
        <c:manualLayout>
          <c:layoutTarget val="inner"/>
          <c:xMode val="edge"/>
          <c:yMode val="edge"/>
          <c:x val="0.274644974493313"/>
          <c:y val="0.133640552995392"/>
          <c:w val="0.438025644560871"/>
          <c:h val="0.732027649769585"/>
        </c:manualLayout>
      </c:layout>
      <c:pieChart>
        <c:varyColors val="1"/>
        <c:ser>
          <c:idx val="0"/>
          <c:order val="0"/>
          <c:spPr/>
          <c:explosion val="4"/>
          <c:dPt>
            <c:idx val="0"/>
            <c:bubble3D val="0"/>
            <c:spPr>
              <a:solidFill>
                <a:schemeClr val="accent1">
                  <a:shade val="45556"/>
                </a:schemeClr>
              </a:solidFill>
              <a:ln>
                <a:noFill/>
              </a:ln>
              <a:effectLst>
                <a:outerShdw blurRad="317500" algn="ctr" rotWithShape="0">
                  <a:prstClr val="black">
                    <a:alpha val="25000"/>
                  </a:prstClr>
                </a:outerShdw>
              </a:effectLst>
            </c:spPr>
          </c:dPt>
          <c:dPt>
            <c:idx val="1"/>
            <c:bubble3D val="0"/>
            <c:spPr>
              <a:solidFill>
                <a:schemeClr val="accent1">
                  <a:shade val="61111"/>
                </a:schemeClr>
              </a:solidFill>
              <a:ln>
                <a:noFill/>
              </a:ln>
              <a:effectLst>
                <a:outerShdw blurRad="317500" algn="ctr" rotWithShape="0">
                  <a:prstClr val="black">
                    <a:alpha val="25000"/>
                  </a:prstClr>
                </a:outerShdw>
              </a:effectLst>
            </c:spPr>
          </c:dPt>
          <c:dPt>
            <c:idx val="2"/>
            <c:bubble3D val="0"/>
            <c:spPr>
              <a:solidFill>
                <a:schemeClr val="accent1">
                  <a:shade val="76667"/>
                </a:schemeClr>
              </a:solidFill>
              <a:ln>
                <a:noFill/>
              </a:ln>
              <a:effectLst>
                <a:outerShdw blurRad="317500" algn="ctr" rotWithShape="0">
                  <a:prstClr val="black">
                    <a:alpha val="25000"/>
                  </a:prstClr>
                </a:outerShdw>
              </a:effectLst>
            </c:spPr>
          </c:dPt>
          <c:dPt>
            <c:idx val="3"/>
            <c:bubble3D val="0"/>
            <c:spPr>
              <a:solidFill>
                <a:schemeClr val="accent1">
                  <a:shade val="92222"/>
                </a:schemeClr>
              </a:solidFill>
              <a:ln>
                <a:noFill/>
              </a:ln>
              <a:effectLst>
                <a:outerShdw blurRad="317500" algn="ctr" rotWithShape="0">
                  <a:prstClr val="black">
                    <a:alpha val="25000"/>
                  </a:prstClr>
                </a:outerShdw>
              </a:effectLst>
            </c:spPr>
          </c:dPt>
          <c:dPt>
            <c:idx val="4"/>
            <c:bubble3D val="0"/>
            <c:spPr>
              <a:solidFill>
                <a:schemeClr val="accent1">
                  <a:tint val="92222"/>
                </a:schemeClr>
              </a:solidFill>
              <a:ln>
                <a:noFill/>
              </a:ln>
              <a:effectLst>
                <a:outerShdw blurRad="317500" algn="ctr" rotWithShape="0">
                  <a:prstClr val="black">
                    <a:alpha val="25000"/>
                  </a:prstClr>
                </a:outerShdw>
              </a:effectLst>
            </c:spPr>
          </c:dPt>
          <c:dPt>
            <c:idx val="5"/>
            <c:bubble3D val="0"/>
            <c:spPr>
              <a:solidFill>
                <a:schemeClr val="accent1">
                  <a:tint val="76667"/>
                </a:schemeClr>
              </a:solidFill>
              <a:ln>
                <a:noFill/>
              </a:ln>
              <a:effectLst>
                <a:outerShdw blurRad="317500" algn="ctr" rotWithShape="0">
                  <a:prstClr val="black">
                    <a:alpha val="25000"/>
                  </a:prstClr>
                </a:outerShdw>
              </a:effectLst>
            </c:spPr>
          </c:dPt>
          <c:dPt>
            <c:idx val="6"/>
            <c:bubble3D val="0"/>
            <c:spPr>
              <a:solidFill>
                <a:schemeClr val="accent1">
                  <a:tint val="61111"/>
                </a:schemeClr>
              </a:solidFill>
              <a:ln>
                <a:noFill/>
              </a:ln>
              <a:effectLst>
                <a:outerShdw blurRad="317500" algn="ctr" rotWithShape="0">
                  <a:prstClr val="black">
                    <a:alpha val="25000"/>
                  </a:prstClr>
                </a:outerShdw>
              </a:effectLst>
            </c:spPr>
          </c:dPt>
          <c:dPt>
            <c:idx val="7"/>
            <c:bubble3D val="0"/>
            <c:spPr>
              <a:solidFill>
                <a:schemeClr val="accent1">
                  <a:tint val="45556"/>
                </a:schemeClr>
              </a:solidFill>
              <a:ln>
                <a:noFill/>
              </a:ln>
              <a:effectLst>
                <a:outerShdw blurRad="317500" algn="ctr" rotWithShape="0">
                  <a:prstClr val="black">
                    <a:alpha val="25000"/>
                  </a:prstClr>
                </a:outerShdw>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3</a:t>
                    </a:r>
                    <a:endParaRPr lang="en-US" altLang="zh-CN"/>
                  </a:p>
                </c:rich>
              </c:tx>
              <c:dLblPos val="inEnd"/>
              <c:showLegendKey val="0"/>
              <c:showVal val="1"/>
              <c:showCatName val="0"/>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4 </a:t>
                    </a:r>
                  </a:p>
                </c:rich>
              </c:tx>
              <c:dLblPos val="inEnd"/>
              <c:showLegendKey val="0"/>
              <c:showVal val="1"/>
              <c:showCatName val="0"/>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1</a:t>
                    </a:r>
                    <a:r>
                      <a:rPr lang="en-US" altLang="zh-CN"/>
                      <a:t>0</a:t>
                    </a:r>
                    <a:endParaRPr lang="en-US" altLang="zh-CN"/>
                  </a:p>
                </c:rich>
              </c:tx>
              <c:dLblPos val="inEnd"/>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6</a:t>
                    </a:r>
                    <a:endParaRPr lang="en-US" altLang="zh-CN"/>
                  </a:p>
                </c:rich>
              </c:tx>
              <c:dLblPos val="inEnd"/>
              <c:showLegendKey val="0"/>
              <c:showVal val="1"/>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4</a:t>
                    </a:r>
                    <a:endParaRPr lang="en-US" altLang="zh-CN"/>
                  </a:p>
                </c:rich>
              </c:tx>
              <c:dLblPos val="inEnd"/>
              <c:showLegendKey val="0"/>
              <c:showVal val="1"/>
              <c:showCatName val="0"/>
              <c:showSerName val="0"/>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29</a:t>
                    </a:r>
                  </a:p>
                </c:rich>
              </c:tx>
              <c:dLblPos val="inEnd"/>
              <c:showLegendKey val="0"/>
              <c:showVal val="1"/>
              <c:showCatName val="0"/>
              <c:showSerName val="0"/>
              <c:showPercent val="1"/>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4</a:t>
                    </a:r>
                    <a:endParaRPr lang="en-US" altLang="zh-CN"/>
                  </a:p>
                </c:rich>
              </c:tx>
              <c:dLblPos val="inEnd"/>
              <c:showLegendKey val="0"/>
              <c:showVal val="0"/>
              <c:showCatName val="0"/>
              <c:showSerName val="0"/>
              <c:showPercent val="1"/>
              <c:showBubbleSize val="0"/>
              <c:extLst>
                <c:ext xmlns:c15="http://schemas.microsoft.com/office/drawing/2012/chart" uri="{CE6537A1-D6FC-4f65-9D91-7224C49458BB}"/>
              </c:extLst>
            </c:dLbl>
            <c:dLbl>
              <c:idx val="7"/>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2</a:t>
                    </a:r>
                    <a:endParaRPr lang="en-US" altLang="zh-CN"/>
                  </a:p>
                </c:rich>
              </c:tx>
              <c:dLblPos val="inEnd"/>
              <c:showLegendKey val="0"/>
              <c:showVal val="1"/>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[工作簿1]Sheet1!$A$1:$A$8</c:f>
              <c:strCache>
                <c:ptCount val="8"/>
                <c:pt idx="0">
                  <c:v>公开部门政策文件</c:v>
                </c:pt>
                <c:pt idx="1">
                  <c:v>部门公示公告</c:v>
                </c:pt>
                <c:pt idx="2">
                  <c:v>行政执法相关信息</c:v>
                </c:pt>
                <c:pt idx="3">
                  <c:v>领导信息及机构概况</c:v>
                </c:pt>
                <c:pt idx="4">
                  <c:v>政府重点工作进展情况</c:v>
                </c:pt>
                <c:pt idx="5">
                  <c:v>重点民生事项进展情况</c:v>
                </c:pt>
                <c:pt idx="6">
                  <c:v>电视台开展专题政策宣传解读</c:v>
                </c:pt>
                <c:pt idx="7">
                  <c:v>人大建议、政协提案</c:v>
                </c:pt>
              </c:strCache>
            </c:strRef>
          </c:cat>
          <c:val>
            <c:numRef>
              <c:f>[工作簿1]Sheet1!$B$1:$B$8</c:f>
              <c:numCache>
                <c:formatCode>General</c:formatCode>
                <c:ptCount val="8"/>
                <c:pt idx="0">
                  <c:v>3</c:v>
                </c:pt>
                <c:pt idx="1">
                  <c:v>4</c:v>
                </c:pt>
                <c:pt idx="2">
                  <c:v>10</c:v>
                </c:pt>
                <c:pt idx="3">
                  <c:v>6</c:v>
                </c:pt>
                <c:pt idx="4">
                  <c:v>4</c:v>
                </c:pt>
                <c:pt idx="5">
                  <c:v>29</c:v>
                </c:pt>
                <c:pt idx="6">
                  <c:v>4</c:v>
                </c:pt>
                <c:pt idx="7">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3202</Words>
  <Characters>3307</Characters>
  <Lines>0</Lines>
  <Paragraphs>0</Paragraphs>
  <TotalTime>52</TotalTime>
  <ScaleCrop>false</ScaleCrop>
  <LinksUpToDate>false</LinksUpToDate>
  <CharactersWithSpaces>3369</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2023-01-04T08:25:00Z</dcterms:created>
  <dc:creator>WPS_1557389864</dc:creator>
  <cp:lastModifiedBy>user</cp:lastModifiedBy>
  <dcterms:modified xsi:type="dcterms:W3CDTF">2023-01-31T17:19:57Z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80A9D25B50334E6193E17A182B23279E</vt:lpwstr>
  </property>
</Properties>
</file>