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311"/>
      </w:pPr>
      <w:r>
        <w:t>对水库大坝（水闸）安全鉴定意见的审定</w:t>
      </w:r>
    </w:p>
    <w:p>
      <w:pPr>
        <w:pStyle w:val="3"/>
        <w:spacing w:before="11"/>
        <w:ind w:left="0"/>
        <w:rPr>
          <w:rFonts w:ascii="宋体"/>
          <w:sz w:val="52"/>
        </w:rPr>
      </w:pPr>
    </w:p>
    <w:p>
      <w:pPr>
        <w:pStyle w:val="3"/>
        <w:spacing w:before="0"/>
        <w:rPr>
          <w:rFonts w:hint="eastAsia" w:ascii="黑体" w:eastAsia="黑体"/>
        </w:rPr>
      </w:pPr>
      <w:r>
        <w:rPr>
          <w:rFonts w:hint="eastAsia" w:ascii="黑体" w:eastAsia="黑体"/>
        </w:rPr>
        <w:t>一、事项名称和编码</w:t>
      </w:r>
    </w:p>
    <w:p>
      <w:pPr>
        <w:pStyle w:val="3"/>
        <w:spacing w:before="152" w:line="326" w:lineRule="auto"/>
        <w:ind w:right="417"/>
      </w:pPr>
      <w:r>
        <w:rPr>
          <w:spacing w:val="-27"/>
        </w:rPr>
        <w:t>对水库大坝</w:t>
      </w:r>
      <w:r>
        <w:t>（</w:t>
      </w:r>
      <w:r>
        <w:rPr>
          <w:spacing w:val="-29"/>
        </w:rPr>
        <w:t>水闸</w:t>
      </w:r>
      <w:r>
        <w:t>）</w:t>
      </w:r>
      <w:r>
        <w:rPr>
          <w:spacing w:val="-30"/>
        </w:rPr>
        <w:t>安全鉴定意见的审定</w:t>
      </w:r>
      <w:r>
        <w:t>3700000719003</w:t>
      </w:r>
    </w:p>
    <w:p>
      <w:pPr>
        <w:pStyle w:val="3"/>
        <w:spacing w:before="3" w:line="328" w:lineRule="auto"/>
        <w:ind w:right="6163"/>
        <w:jc w:val="both"/>
        <w:rPr>
          <w:rFonts w:hint="eastAsia" w:ascii="黑体" w:eastAsia="黑体"/>
        </w:rPr>
      </w:pPr>
      <w:r>
        <w:rPr>
          <w:rFonts w:hint="eastAsia" w:ascii="黑体" w:eastAsia="黑体"/>
        </w:rPr>
        <w:t>二、实施机构</w:t>
      </w:r>
      <w:r>
        <w:rPr>
          <w:rFonts w:hint="eastAsia"/>
          <w:spacing w:val="-29"/>
          <w:lang w:eastAsia="zh-CN"/>
        </w:rPr>
        <w:t>招远市水务局</w:t>
      </w:r>
      <w:r>
        <w:rPr>
          <w:rFonts w:hint="eastAsia" w:ascii="黑体" w:eastAsia="黑体"/>
        </w:rPr>
        <w:t>三、申请主体</w:t>
      </w:r>
    </w:p>
    <w:p>
      <w:pPr>
        <w:pStyle w:val="3"/>
        <w:spacing w:before="0" w:line="328" w:lineRule="auto"/>
        <w:ind w:left="120" w:right="405" w:firstLine="640"/>
        <w:jc w:val="both"/>
      </w:pPr>
      <w:r>
        <w:rPr>
          <w:rFonts w:hint="eastAsia"/>
          <w:spacing w:val="-2"/>
          <w:lang w:val="en-US" w:eastAsia="zh-CN"/>
        </w:rPr>
        <w:t>小</w:t>
      </w:r>
      <w:r>
        <w:rPr>
          <w:spacing w:val="-2"/>
        </w:rPr>
        <w:t>型水库</w:t>
      </w:r>
      <w:r>
        <w:rPr>
          <w:spacing w:val="-10"/>
        </w:rPr>
        <w:t>。</w:t>
      </w:r>
    </w:p>
    <w:p>
      <w:pPr>
        <w:pStyle w:val="3"/>
        <w:spacing w:before="0" w:line="407" w:lineRule="exact"/>
        <w:rPr>
          <w:rFonts w:hint="eastAsia" w:ascii="黑体" w:eastAsia="黑体"/>
        </w:rPr>
      </w:pPr>
      <w:r>
        <w:rPr>
          <w:rFonts w:hint="eastAsia" w:ascii="黑体" w:eastAsia="黑体"/>
        </w:rPr>
        <w:t>四、受理地点</w:t>
      </w:r>
    </w:p>
    <w:p>
      <w:pPr>
        <w:pStyle w:val="3"/>
        <w:spacing w:before="144"/>
        <w:rPr>
          <w:rFonts w:hint="eastAsia" w:eastAsia="仿宋_GB2312"/>
          <w:lang w:eastAsia="zh-CN"/>
        </w:rPr>
      </w:pPr>
      <w:r>
        <w:rPr>
          <w:rFonts w:hint="eastAsia"/>
          <w:lang w:eastAsia="zh-CN"/>
        </w:rPr>
        <w:t>山东省烟台市招远市温泉路335号</w:t>
      </w:r>
    </w:p>
    <w:p>
      <w:pPr>
        <w:pStyle w:val="3"/>
        <w:spacing w:before="151"/>
        <w:rPr>
          <w:rFonts w:hint="eastAsia" w:ascii="黑体" w:eastAsia="黑体"/>
        </w:rPr>
      </w:pPr>
      <w:r>
        <w:rPr>
          <w:rFonts w:hint="eastAsia" w:ascii="黑体" w:eastAsia="黑体"/>
        </w:rPr>
        <w:t>五、办理依据</w:t>
      </w:r>
    </w:p>
    <w:p>
      <w:pPr>
        <w:pStyle w:val="3"/>
        <w:spacing w:before="150" w:line="328" w:lineRule="auto"/>
        <w:ind w:left="120" w:right="417" w:firstLine="640"/>
        <w:jc w:val="both"/>
      </w:pPr>
      <w:r>
        <w:t>《水库大坝安全鉴定办法》（2003</w:t>
      </w:r>
      <w:r>
        <w:rPr>
          <w:spacing w:val="-53"/>
        </w:rPr>
        <w:t>年</w:t>
      </w:r>
      <w:r>
        <w:t>6</w:t>
      </w:r>
      <w:r>
        <w:rPr>
          <w:spacing w:val="-53"/>
        </w:rPr>
        <w:t>月</w:t>
      </w:r>
      <w:r>
        <w:t>24</w:t>
      </w:r>
      <w:r>
        <w:rPr>
          <w:spacing w:val="-16"/>
        </w:rPr>
        <w:t>日水利部</w:t>
      </w:r>
      <w:r>
        <w:rPr>
          <w:spacing w:val="2"/>
        </w:rPr>
        <w:t>水建管〔</w:t>
      </w:r>
      <w:r>
        <w:t>2003〕271</w:t>
      </w:r>
      <w:r>
        <w:rPr>
          <w:spacing w:val="-19"/>
        </w:rPr>
        <w:t>号发布</w:t>
      </w:r>
      <w:r>
        <w:t>）第三条：“……省级水行政主</w:t>
      </w:r>
      <w:r>
        <w:rPr>
          <w:spacing w:val="-5"/>
        </w:rPr>
        <w:t>管部门审定大型水库和影响县城安全或坝高</w:t>
      </w:r>
      <w:r>
        <w:t>50m</w:t>
      </w:r>
      <w:r>
        <w:rPr>
          <w:spacing w:val="-17"/>
        </w:rPr>
        <w:t>以上中型水</w:t>
      </w:r>
      <w:r>
        <w:rPr>
          <w:spacing w:val="-14"/>
        </w:rPr>
        <w:t>库的大坝安全鉴定意见；市(地)级水行政主管部门审定其他</w:t>
      </w:r>
      <w:r>
        <w:rPr>
          <w:spacing w:val="-20"/>
        </w:rPr>
        <w:t>中型水库和影响县城安全或坝高</w:t>
      </w:r>
      <w:r>
        <w:t>30m</w:t>
      </w:r>
      <w:r>
        <w:rPr>
          <w:spacing w:val="-11"/>
        </w:rPr>
        <w:t>以上小型水库的大坝安</w:t>
      </w:r>
      <w:r>
        <w:rPr>
          <w:spacing w:val="-9"/>
        </w:rPr>
        <w:t>全鉴定意见；县级水行政主管部门审定其他小型水库的大坝</w:t>
      </w:r>
      <w:r>
        <w:rPr>
          <w:spacing w:val="-8"/>
          <w:w w:val="95"/>
        </w:rPr>
        <w:t>安全鉴定意见。”第四条：“大坝主管部门(单位)负责组织</w:t>
      </w:r>
      <w:r>
        <w:rPr>
          <w:spacing w:val="-9"/>
        </w:rPr>
        <w:t>所管辖大坝的安全鉴定工作；农村集体经济组织所属的大坝</w:t>
      </w:r>
      <w:r>
        <w:rPr>
          <w:spacing w:val="4"/>
          <w:w w:val="95"/>
        </w:rPr>
        <w:t>安全鉴定由所在乡镇人民政府负责组织(以下称鉴定组织单位)。水库管理单位协助鉴定组织单位做好安全鉴定的有关</w:t>
      </w:r>
      <w:r>
        <w:rPr>
          <w:spacing w:val="-3"/>
        </w:rPr>
        <w:t>工作。”第五条：“大坝实行定期安全鉴定制度，首次安全</w:t>
      </w:r>
    </w:p>
    <w:p>
      <w:pPr>
        <w:spacing w:after="0" w:line="328" w:lineRule="auto"/>
        <w:jc w:val="both"/>
        <w:sectPr>
          <w:type w:val="continuous"/>
          <w:pgSz w:w="11910" w:h="16840"/>
          <w:pgMar w:top="1320" w:right="1380" w:bottom="280" w:left="1680" w:header="720" w:footer="720" w:gutter="0"/>
          <w:cols w:space="720" w:num="1"/>
        </w:sectPr>
      </w:pPr>
    </w:p>
    <w:p>
      <w:pPr>
        <w:pStyle w:val="3"/>
        <w:spacing w:before="32" w:line="326" w:lineRule="auto"/>
        <w:ind w:left="120" w:right="405"/>
        <w:jc w:val="both"/>
      </w:pPr>
      <w:r>
        <w:rPr>
          <w:spacing w:val="-9"/>
        </w:rPr>
        <w:t>鉴定应在竣工验收后</w:t>
      </w:r>
      <w:r>
        <w:t>5</w:t>
      </w:r>
      <w:r>
        <w:rPr>
          <w:spacing w:val="-17"/>
        </w:rPr>
        <w:t>年内进行，以后应每隔</w:t>
      </w:r>
      <w:r>
        <w:t>6～10</w:t>
      </w:r>
      <w:r>
        <w:rPr>
          <w:spacing w:val="-21"/>
        </w:rPr>
        <w:t>年进行</w:t>
      </w:r>
      <w:r>
        <w:rPr>
          <w:spacing w:val="-7"/>
        </w:rPr>
        <w:t>一次。运行中遭遇特大洪水、强烈地震、工程发生重大事故或出现影响安全的异常现象后，应组织专门的安全鉴定。”</w:t>
      </w:r>
    </w:p>
    <w:p>
      <w:pPr>
        <w:pStyle w:val="3"/>
        <w:spacing w:before="7"/>
        <w:rPr>
          <w:rFonts w:hint="eastAsia" w:ascii="黑体" w:eastAsia="黑体"/>
        </w:rPr>
      </w:pPr>
      <w:r>
        <w:rPr>
          <w:rFonts w:hint="eastAsia" w:ascii="黑体" w:eastAsia="黑体"/>
        </w:rPr>
        <w:t>六、办理条件</w:t>
      </w:r>
    </w:p>
    <w:p>
      <w:pPr>
        <w:pStyle w:val="3"/>
      </w:pPr>
      <w:r>
        <w:t>申请材料齐全、申请事项在本部门办理权限内。</w:t>
      </w:r>
    </w:p>
    <w:p>
      <w:pPr>
        <w:pStyle w:val="3"/>
        <w:rPr>
          <w:rFonts w:hint="eastAsia" w:ascii="黑体" w:eastAsia="黑体"/>
        </w:rPr>
      </w:pPr>
      <w:r>
        <w:rPr>
          <w:rFonts w:hint="eastAsia" w:ascii="黑体" w:eastAsia="黑体"/>
        </w:rPr>
        <w:t>七、申请材料</w:t>
      </w:r>
    </w:p>
    <w:p>
      <w:pPr>
        <w:pStyle w:val="7"/>
        <w:numPr>
          <w:ilvl w:val="0"/>
          <w:numId w:val="1"/>
        </w:numPr>
        <w:tabs>
          <w:tab w:val="left" w:pos="1083"/>
        </w:tabs>
        <w:spacing w:before="152" w:after="0" w:line="240" w:lineRule="auto"/>
        <w:ind w:left="1082" w:right="0" w:hanging="323"/>
        <w:jc w:val="left"/>
        <w:rPr>
          <w:sz w:val="32"/>
        </w:rPr>
      </w:pPr>
      <w:r>
        <w:rPr>
          <w:sz w:val="32"/>
        </w:rPr>
        <w:t>申请审定的文件</w:t>
      </w:r>
    </w:p>
    <w:p>
      <w:pPr>
        <w:pStyle w:val="7"/>
        <w:numPr>
          <w:ilvl w:val="0"/>
          <w:numId w:val="1"/>
        </w:numPr>
        <w:tabs>
          <w:tab w:val="left" w:pos="1083"/>
        </w:tabs>
        <w:spacing w:before="149" w:after="0" w:line="240" w:lineRule="auto"/>
        <w:ind w:left="1082" w:right="0" w:hanging="323"/>
        <w:jc w:val="left"/>
        <w:rPr>
          <w:sz w:val="32"/>
        </w:rPr>
      </w:pPr>
      <w:r>
        <w:rPr>
          <w:sz w:val="32"/>
        </w:rPr>
        <w:t>大坝安全评价报告</w:t>
      </w:r>
    </w:p>
    <w:p>
      <w:pPr>
        <w:pStyle w:val="7"/>
        <w:numPr>
          <w:ilvl w:val="0"/>
          <w:numId w:val="1"/>
        </w:numPr>
        <w:tabs>
          <w:tab w:val="left" w:pos="1083"/>
        </w:tabs>
        <w:spacing w:before="149" w:after="0" w:line="240" w:lineRule="auto"/>
        <w:ind w:left="1082" w:right="0" w:hanging="323"/>
        <w:jc w:val="left"/>
        <w:rPr>
          <w:sz w:val="32"/>
        </w:rPr>
      </w:pPr>
      <w:r>
        <w:rPr>
          <w:sz w:val="32"/>
        </w:rPr>
        <w:t>非水利行业的水库大坝行业主管部门技术审查意见</w:t>
      </w:r>
    </w:p>
    <w:p>
      <w:pPr>
        <w:pStyle w:val="3"/>
        <w:spacing w:before="152"/>
        <w:rPr>
          <w:rFonts w:hint="eastAsia" w:ascii="黑体" w:eastAsia="黑体"/>
        </w:rPr>
      </w:pPr>
      <w:r>
        <w:rPr>
          <w:rFonts w:hint="eastAsia" w:ascii="黑体" w:eastAsia="黑体"/>
        </w:rPr>
        <w:t>八、办理时限</w:t>
      </w:r>
    </w:p>
    <w:p>
      <w:pPr>
        <w:pStyle w:val="3"/>
      </w:pPr>
      <w:r>
        <w:t>法定时限60个工作日</w:t>
      </w:r>
    </w:p>
    <w:p>
      <w:pPr>
        <w:pStyle w:val="3"/>
        <w:spacing w:line="328" w:lineRule="auto"/>
        <w:ind w:right="5844"/>
        <w:rPr>
          <w:rFonts w:hint="eastAsia" w:ascii="黑体" w:eastAsia="黑体"/>
        </w:rPr>
      </w:pPr>
      <w:r>
        <w:rPr>
          <w:rFonts w:hint="eastAsia" w:ascii="黑体" w:eastAsia="黑体"/>
        </w:rPr>
        <w:t>九、收费标准</w:t>
      </w:r>
    </w:p>
    <w:p>
      <w:pPr>
        <w:pStyle w:val="3"/>
        <w:spacing w:line="328" w:lineRule="auto"/>
        <w:ind w:right="5844"/>
        <w:rPr>
          <w:spacing w:val="-3"/>
        </w:rPr>
      </w:pPr>
      <w:r>
        <w:rPr>
          <w:spacing w:val="-3"/>
        </w:rPr>
        <w:t>本事项不收费。</w:t>
      </w:r>
    </w:p>
    <w:p>
      <w:pPr>
        <w:pStyle w:val="3"/>
        <w:spacing w:line="328" w:lineRule="auto"/>
        <w:ind w:right="5844"/>
        <w:rPr>
          <w:rFonts w:hint="default" w:eastAsia="仿宋_GB2312"/>
          <w:lang w:val="en-US" w:eastAsia="zh-CN"/>
        </w:rPr>
      </w:pPr>
      <w:r>
        <w:rPr>
          <w:rFonts w:hint="eastAsia" w:ascii="黑体" w:eastAsia="黑体"/>
        </w:rPr>
        <w:t>十、咨询服务</w:t>
      </w:r>
      <w:r>
        <w:t>0535-</w:t>
      </w:r>
      <w:r>
        <w:rPr>
          <w:rFonts w:hint="eastAsia"/>
          <w:lang w:val="en-US" w:eastAsia="zh-CN"/>
        </w:rPr>
        <w:t>8938322</w:t>
      </w:r>
    </w:p>
    <w:p>
      <w:pPr>
        <w:spacing w:after="0" w:line="328" w:lineRule="auto"/>
        <w:sectPr>
          <w:pgSz w:w="11910" w:h="16840"/>
          <w:pgMar w:top="1520" w:right="1380" w:bottom="280" w:left="1680" w:header="720" w:footer="720" w:gutter="0"/>
          <w:cols w:space="720" w:num="1"/>
        </w:sectPr>
      </w:pPr>
    </w:p>
    <w:p>
      <w:pPr>
        <w:pStyle w:val="2"/>
        <w:ind w:left="753"/>
      </w:pPr>
      <w:r>
        <w:t>对水利工程质量事故处理方案的审定</w:t>
      </w:r>
    </w:p>
    <w:p>
      <w:pPr>
        <w:pStyle w:val="3"/>
        <w:spacing w:before="11"/>
        <w:ind w:left="0"/>
        <w:rPr>
          <w:rFonts w:ascii="宋体"/>
          <w:sz w:val="52"/>
        </w:rPr>
      </w:pPr>
    </w:p>
    <w:p>
      <w:pPr>
        <w:pStyle w:val="3"/>
        <w:spacing w:before="0"/>
        <w:rPr>
          <w:rFonts w:hint="eastAsia" w:ascii="黑体" w:eastAsia="黑体"/>
        </w:rPr>
      </w:pPr>
      <w:r>
        <w:rPr>
          <w:rFonts w:hint="eastAsia" w:ascii="黑体" w:eastAsia="黑体"/>
        </w:rPr>
        <w:t>一、事项名称和编码</w:t>
      </w:r>
    </w:p>
    <w:p>
      <w:pPr>
        <w:pStyle w:val="3"/>
        <w:spacing w:before="152"/>
      </w:pPr>
      <w:r>
        <w:t>对水利工程质量事故处理方案的审定3700000719002</w:t>
      </w:r>
    </w:p>
    <w:p>
      <w:pPr>
        <w:pStyle w:val="3"/>
        <w:spacing w:line="328" w:lineRule="auto"/>
        <w:ind w:right="6163"/>
        <w:jc w:val="both"/>
        <w:rPr>
          <w:rFonts w:hint="eastAsia" w:ascii="黑体" w:eastAsia="黑体"/>
        </w:rPr>
      </w:pPr>
      <w:r>
        <w:rPr>
          <w:rFonts w:hint="eastAsia" w:ascii="黑体" w:eastAsia="黑体"/>
        </w:rPr>
        <w:t>二、实施机构</w:t>
      </w:r>
      <w:r>
        <w:rPr>
          <w:rFonts w:hint="eastAsia"/>
          <w:lang w:eastAsia="zh-CN"/>
        </w:rPr>
        <w:t>招远市水务局</w:t>
      </w:r>
      <w:r>
        <w:rPr>
          <w:rFonts w:hint="eastAsia" w:ascii="黑体" w:eastAsia="黑体"/>
        </w:rPr>
        <w:t>三、申请主体</w:t>
      </w:r>
    </w:p>
    <w:p>
      <w:pPr>
        <w:pStyle w:val="3"/>
        <w:spacing w:before="0" w:line="405" w:lineRule="exact"/>
      </w:pPr>
      <w:r>
        <w:t>发生较大质量事故的单位</w:t>
      </w:r>
    </w:p>
    <w:p>
      <w:pPr>
        <w:pStyle w:val="3"/>
        <w:rPr>
          <w:rFonts w:hint="eastAsia" w:ascii="黑体" w:eastAsia="黑体"/>
        </w:rPr>
      </w:pPr>
      <w:r>
        <w:rPr>
          <w:rFonts w:hint="eastAsia" w:ascii="黑体" w:eastAsia="黑体"/>
        </w:rPr>
        <w:t>四、受理地点</w:t>
      </w:r>
    </w:p>
    <w:p>
      <w:pPr>
        <w:pStyle w:val="3"/>
        <w:spacing w:before="151"/>
        <w:rPr>
          <w:rFonts w:hint="eastAsia" w:eastAsia="仿宋_GB2312"/>
          <w:lang w:eastAsia="zh-CN"/>
        </w:rPr>
      </w:pPr>
      <w:r>
        <w:rPr>
          <w:rFonts w:hint="eastAsia"/>
          <w:lang w:eastAsia="zh-CN"/>
        </w:rPr>
        <w:t>山东省烟台市招远市温泉路335号</w:t>
      </w:r>
    </w:p>
    <w:p>
      <w:pPr>
        <w:pStyle w:val="3"/>
        <w:spacing w:before="150"/>
        <w:rPr>
          <w:rFonts w:hint="eastAsia" w:ascii="黑体" w:eastAsia="黑体"/>
        </w:rPr>
      </w:pPr>
      <w:r>
        <w:rPr>
          <w:rFonts w:hint="eastAsia" w:ascii="黑体" w:eastAsia="黑体"/>
        </w:rPr>
        <w:t>五、设定依据</w:t>
      </w:r>
    </w:p>
    <w:p>
      <w:pPr>
        <w:pStyle w:val="3"/>
        <w:spacing w:line="328" w:lineRule="auto"/>
        <w:ind w:left="120" w:right="405" w:firstLine="480"/>
        <w:jc w:val="both"/>
      </w:pPr>
      <w:r>
        <w:rPr>
          <w:spacing w:val="5"/>
          <w:w w:val="95"/>
        </w:rPr>
        <w:t>《水利工程质量事故处理暂行规定》第五条：“水利工</w:t>
      </w:r>
      <w:r>
        <w:rPr>
          <w:spacing w:val="5"/>
        </w:rPr>
        <w:t>程质量事故处理实行分级管理的制度。……各省、自治区、</w:t>
      </w:r>
      <w:r>
        <w:rPr>
          <w:spacing w:val="3"/>
        </w:rPr>
        <w:t>直辖市水利</w:t>
      </w:r>
      <w:r>
        <w:t>（水电</w:t>
      </w:r>
      <w:r>
        <w:rPr>
          <w:spacing w:val="-3"/>
        </w:rPr>
        <w:t>）厅</w:t>
      </w:r>
      <w:r>
        <w:t>（局</w:t>
      </w:r>
      <w:r>
        <w:rPr>
          <w:spacing w:val="-3"/>
        </w:rPr>
        <w:t>）</w:t>
      </w:r>
      <w:r>
        <w:t>负责本辖区水利工程质量事故</w:t>
      </w:r>
      <w:r>
        <w:rPr>
          <w:spacing w:val="2"/>
        </w:rPr>
        <w:t>处理管理工作和所属水利工程质量事故处理工作。”；第</w:t>
      </w:r>
      <w:r>
        <w:rPr>
          <w:spacing w:val="-2"/>
        </w:rPr>
        <w:t>二十四条：“一般事故，由项目法人负责组织有关单位制定处理方案并实施，报上级主管部门备案。”；第二十五条：</w:t>
      </w:r>
      <w:r>
        <w:rPr>
          <w:spacing w:val="-4"/>
        </w:rPr>
        <w:t>“较大质量事故，由项目法人负责组织有关单位制定处理方案，经上级主管部门审定后实施，报省级主管部门或流域机构备案。第二十六条：“重大质量事故，由项目法人负责组</w:t>
      </w:r>
      <w:r>
        <w:rPr>
          <w:spacing w:val="-5"/>
        </w:rPr>
        <w:t>织有关单位提出处理方案，征得事故调查组意见后，报省级</w:t>
      </w:r>
      <w:r>
        <w:rPr>
          <w:spacing w:val="-18"/>
          <w:w w:val="99"/>
        </w:rPr>
        <w:t>水行政主管部门或流域机构审定后实施。”第二十七条：“特</w:t>
      </w:r>
      <w:r>
        <w:rPr>
          <w:spacing w:val="-18"/>
        </w:rPr>
        <w:t>大质量事故，由项目法人负责组织有关单位提出处理方案，</w:t>
      </w:r>
      <w:r>
        <w:rPr>
          <w:spacing w:val="-14"/>
        </w:rPr>
        <w:t>征得事故调查组意见后，报省级水行政主管部门或流域机构</w:t>
      </w:r>
    </w:p>
    <w:p>
      <w:pPr>
        <w:spacing w:after="0" w:line="328" w:lineRule="auto"/>
        <w:jc w:val="both"/>
        <w:sectPr>
          <w:pgSz w:w="11910" w:h="16840"/>
          <w:pgMar w:top="1320" w:right="1380" w:bottom="280" w:left="1680" w:header="720" w:footer="720" w:gutter="0"/>
          <w:cols w:space="720" w:num="1"/>
        </w:sectPr>
      </w:pPr>
    </w:p>
    <w:p>
      <w:pPr>
        <w:pStyle w:val="3"/>
        <w:spacing w:before="32"/>
        <w:ind w:left="120"/>
      </w:pPr>
      <w:r>
        <w:t>审定后实施，并报水利部备案。”</w:t>
      </w:r>
    </w:p>
    <w:p>
      <w:pPr>
        <w:pStyle w:val="3"/>
        <w:spacing w:line="328" w:lineRule="auto"/>
        <w:ind w:right="6163"/>
      </w:pPr>
      <w:r>
        <w:rPr>
          <w:rFonts w:hint="eastAsia" w:ascii="黑体" w:eastAsia="黑体"/>
          <w:spacing w:val="-3"/>
        </w:rPr>
        <w:t>六、办理条件</w:t>
      </w:r>
      <w:r>
        <w:t>举报或发现</w:t>
      </w:r>
    </w:p>
    <w:p>
      <w:pPr>
        <w:pStyle w:val="3"/>
        <w:spacing w:line="328" w:lineRule="auto"/>
        <w:ind w:right="6163"/>
        <w:rPr>
          <w:rFonts w:hint="eastAsia" w:ascii="黑体" w:eastAsia="黑体"/>
        </w:rPr>
      </w:pPr>
      <w:r>
        <w:rPr>
          <w:rFonts w:hint="eastAsia" w:ascii="黑体" w:eastAsia="黑体"/>
          <w:spacing w:val="-3"/>
        </w:rPr>
        <w:t>七、申请材料</w:t>
      </w:r>
      <w:r>
        <w:rPr>
          <w:spacing w:val="-3"/>
        </w:rPr>
        <w:t>事故处理方案</w:t>
      </w:r>
      <w:r>
        <w:rPr>
          <w:rFonts w:hint="eastAsia" w:ascii="黑体" w:eastAsia="黑体"/>
          <w:spacing w:val="-3"/>
        </w:rPr>
        <w:t>八、办理时限</w:t>
      </w:r>
    </w:p>
    <w:p>
      <w:pPr>
        <w:pStyle w:val="3"/>
        <w:spacing w:before="0" w:line="402" w:lineRule="exact"/>
      </w:pPr>
      <w:r>
        <w:t>无法定时限，根据实际情况决定</w:t>
      </w:r>
    </w:p>
    <w:p>
      <w:pPr>
        <w:pStyle w:val="3"/>
        <w:spacing w:line="328" w:lineRule="auto"/>
        <w:ind w:right="5844"/>
        <w:rPr>
          <w:rFonts w:hint="eastAsia" w:ascii="黑体" w:eastAsia="黑体"/>
        </w:rPr>
      </w:pPr>
      <w:r>
        <w:rPr>
          <w:rFonts w:hint="eastAsia" w:ascii="黑体" w:eastAsia="黑体"/>
        </w:rPr>
        <w:t>九、收费标准</w:t>
      </w:r>
    </w:p>
    <w:p>
      <w:pPr>
        <w:pStyle w:val="3"/>
        <w:spacing w:line="328" w:lineRule="auto"/>
        <w:ind w:right="5844"/>
        <w:rPr>
          <w:rFonts w:hint="default" w:eastAsia="仿宋_GB2312"/>
          <w:lang w:val="en-US" w:eastAsia="zh-CN"/>
        </w:rPr>
      </w:pPr>
      <w:r>
        <w:rPr>
          <w:spacing w:val="-3"/>
        </w:rPr>
        <w:t>本事项不收费。</w:t>
      </w:r>
      <w:r>
        <w:rPr>
          <w:rFonts w:hint="eastAsia" w:ascii="黑体" w:eastAsia="黑体"/>
        </w:rPr>
        <w:t>十、咨询服务</w:t>
      </w:r>
      <w:r>
        <w:t>0535-</w:t>
      </w:r>
      <w:r>
        <w:rPr>
          <w:rFonts w:hint="eastAsia"/>
          <w:lang w:val="en-US" w:eastAsia="zh-CN"/>
        </w:rPr>
        <w:t>8938317</w:t>
      </w:r>
    </w:p>
    <w:p>
      <w:pPr>
        <w:spacing w:after="0" w:line="328" w:lineRule="auto"/>
        <w:sectPr>
          <w:pgSz w:w="11910" w:h="16840"/>
          <w:pgMar w:top="1520" w:right="1380" w:bottom="280" w:left="1680" w:header="720" w:footer="720" w:gutter="0"/>
          <w:cols w:space="720" w:num="1"/>
        </w:sectPr>
      </w:pPr>
    </w:p>
    <w:p>
      <w:pPr>
        <w:pStyle w:val="2"/>
        <w:ind w:right="2795"/>
        <w:jc w:val="center"/>
      </w:pPr>
      <w:r>
        <w:t>水土流失危害确认</w:t>
      </w:r>
    </w:p>
    <w:p>
      <w:pPr>
        <w:pStyle w:val="3"/>
        <w:spacing w:before="11"/>
        <w:ind w:left="0"/>
        <w:rPr>
          <w:rFonts w:ascii="宋体"/>
          <w:sz w:val="52"/>
        </w:rPr>
      </w:pPr>
    </w:p>
    <w:p>
      <w:pPr>
        <w:pStyle w:val="3"/>
        <w:spacing w:before="0"/>
        <w:rPr>
          <w:rFonts w:hint="eastAsia" w:ascii="黑体" w:eastAsia="黑体"/>
        </w:rPr>
      </w:pPr>
      <w:r>
        <w:rPr>
          <w:rFonts w:hint="eastAsia" w:ascii="黑体" w:eastAsia="黑体"/>
        </w:rPr>
        <w:t>一、事项名称和编码</w:t>
      </w:r>
    </w:p>
    <w:p>
      <w:pPr>
        <w:pStyle w:val="3"/>
        <w:spacing w:before="152"/>
      </w:pPr>
      <w:r>
        <w:t>水土流失危害确认3700000719001</w:t>
      </w:r>
    </w:p>
    <w:p>
      <w:pPr>
        <w:pStyle w:val="3"/>
        <w:spacing w:line="328" w:lineRule="auto"/>
        <w:ind w:right="6163"/>
        <w:jc w:val="both"/>
        <w:rPr>
          <w:rFonts w:hint="eastAsia" w:ascii="黑体" w:eastAsia="黑体"/>
        </w:rPr>
      </w:pPr>
      <w:r>
        <w:rPr>
          <w:rFonts w:hint="eastAsia" w:ascii="黑体" w:eastAsia="黑体"/>
        </w:rPr>
        <w:t>二、实施机构</w:t>
      </w:r>
      <w:r>
        <w:rPr>
          <w:rFonts w:hint="eastAsia" w:eastAsia="黑体"/>
          <w:lang w:eastAsia="zh-CN"/>
        </w:rPr>
        <w:t>招远市水务局</w:t>
      </w:r>
      <w:r>
        <w:rPr>
          <w:rFonts w:hint="eastAsia" w:ascii="黑体" w:eastAsia="黑体"/>
        </w:rPr>
        <w:t>三、申请主体</w:t>
      </w:r>
    </w:p>
    <w:p>
      <w:pPr>
        <w:pStyle w:val="3"/>
        <w:spacing w:before="0" w:line="326" w:lineRule="auto"/>
        <w:ind w:left="120" w:right="417" w:firstLine="640"/>
      </w:pPr>
      <w:r>
        <w:rPr>
          <w:spacing w:val="13"/>
          <w:w w:val="95"/>
        </w:rPr>
        <w:t>由于发生不可抗拒的自然灾害而造成水土流失时的有</w:t>
      </w:r>
      <w:r>
        <w:rPr>
          <w:spacing w:val="13"/>
        </w:rPr>
        <w:t>关单位和个人。</w:t>
      </w:r>
    </w:p>
    <w:p>
      <w:pPr>
        <w:pStyle w:val="3"/>
        <w:spacing w:before="0"/>
        <w:rPr>
          <w:rFonts w:hint="eastAsia" w:ascii="黑体" w:eastAsia="黑体"/>
        </w:rPr>
      </w:pPr>
      <w:r>
        <w:rPr>
          <w:rFonts w:hint="eastAsia" w:ascii="黑体" w:eastAsia="黑体"/>
        </w:rPr>
        <w:t>四、受理地点</w:t>
      </w:r>
    </w:p>
    <w:p>
      <w:pPr>
        <w:pStyle w:val="3"/>
        <w:rPr>
          <w:rFonts w:hint="eastAsia" w:eastAsia="仿宋_GB2312"/>
          <w:lang w:eastAsia="zh-CN"/>
        </w:rPr>
      </w:pPr>
      <w:r>
        <w:rPr>
          <w:rFonts w:hint="eastAsia"/>
          <w:lang w:eastAsia="zh-CN"/>
        </w:rPr>
        <w:t>山东省烟台市招远市温泉路335号</w:t>
      </w:r>
    </w:p>
    <w:p>
      <w:pPr>
        <w:pStyle w:val="3"/>
        <w:spacing w:before="150"/>
        <w:rPr>
          <w:rFonts w:hint="eastAsia" w:ascii="黑体" w:eastAsia="黑体"/>
        </w:rPr>
      </w:pPr>
      <w:r>
        <w:rPr>
          <w:rFonts w:hint="eastAsia" w:ascii="黑体" w:eastAsia="黑体"/>
        </w:rPr>
        <w:t>五、办理依据</w:t>
      </w:r>
    </w:p>
    <w:p>
      <w:pPr>
        <w:pStyle w:val="3"/>
        <w:spacing w:before="151" w:line="328" w:lineRule="auto"/>
        <w:ind w:left="120" w:right="418" w:firstLine="640"/>
      </w:pPr>
      <w:r>
        <w:t>《中华人民共和国水土保持法实施条例》(1993</w:t>
      </w:r>
      <w:r>
        <w:rPr>
          <w:spacing w:val="-56"/>
        </w:rPr>
        <w:t>年</w:t>
      </w:r>
      <w:r>
        <w:t>8</w:t>
      </w:r>
      <w:r>
        <w:rPr>
          <w:spacing w:val="-42"/>
        </w:rPr>
        <w:t>月</w:t>
      </w:r>
      <w:r>
        <w:rPr>
          <w:spacing w:val="-49"/>
        </w:rPr>
        <w:t>国务院令第</w:t>
      </w:r>
      <w:r>
        <w:t>120</w:t>
      </w:r>
      <w:r>
        <w:rPr>
          <w:spacing w:val="-17"/>
        </w:rPr>
        <w:t>号公布，</w:t>
      </w:r>
      <w:r>
        <w:t>2010</w:t>
      </w:r>
      <w:r>
        <w:rPr>
          <w:spacing w:val="-22"/>
        </w:rPr>
        <w:t>年国务院令第</w:t>
      </w:r>
      <w:r>
        <w:t>588</w:t>
      </w:r>
      <w:r>
        <w:rPr>
          <w:spacing w:val="-15"/>
        </w:rPr>
        <w:t>号修订):</w:t>
      </w:r>
      <w:r>
        <w:rPr>
          <w:spacing w:val="-10"/>
        </w:rPr>
        <w:t>第三十三条：由于发生不可抗拒的自然灾害而造成水土流失</w:t>
      </w:r>
      <w:r>
        <w:rPr>
          <w:spacing w:val="-6"/>
        </w:rPr>
        <w:t>时，有关单位和个人应当向水行政主管部门报告不可抗拒的</w:t>
      </w:r>
      <w:r>
        <w:rPr>
          <w:spacing w:val="-3"/>
          <w:w w:val="95"/>
        </w:rPr>
        <w:t>自然灾害的种类、程度、时间和已采取的措施等情况，经水</w:t>
      </w:r>
      <w:r>
        <w:rPr>
          <w:spacing w:val="-3"/>
        </w:rPr>
        <w:t>行政主管部门查实并作出不能避免造成水土流失危害认定的，免予承担责任。</w:t>
      </w:r>
    </w:p>
    <w:p>
      <w:pPr>
        <w:pStyle w:val="3"/>
        <w:spacing w:before="0" w:line="397" w:lineRule="exact"/>
        <w:rPr>
          <w:rFonts w:hint="eastAsia" w:ascii="黑体" w:eastAsia="黑体"/>
        </w:rPr>
      </w:pPr>
      <w:r>
        <w:rPr>
          <w:rFonts w:hint="eastAsia" w:ascii="黑体" w:eastAsia="黑体"/>
        </w:rPr>
        <w:t>六、办理条件</w:t>
      </w:r>
    </w:p>
    <w:p>
      <w:pPr>
        <w:pStyle w:val="3"/>
        <w:spacing w:line="328" w:lineRule="auto"/>
        <w:ind w:left="120" w:right="375" w:firstLine="640"/>
      </w:pPr>
      <w:r>
        <w:t>由于发生不可抗拒的自然灾害而造成水土流失时，有关单位和个人应当向水行政主管部门报告不可抗拒的自然灾害的种类、程度、时间和已采取的措施等情况</w:t>
      </w:r>
    </w:p>
    <w:p>
      <w:pPr>
        <w:pStyle w:val="3"/>
        <w:spacing w:before="0" w:line="405" w:lineRule="exact"/>
        <w:rPr>
          <w:rFonts w:hint="eastAsia" w:ascii="黑体" w:eastAsia="黑体"/>
        </w:rPr>
      </w:pPr>
      <w:r>
        <w:rPr>
          <w:rFonts w:hint="eastAsia" w:ascii="黑体" w:eastAsia="黑体"/>
        </w:rPr>
        <w:t>七、申请材料</w:t>
      </w:r>
    </w:p>
    <w:p>
      <w:pPr>
        <w:spacing w:after="0" w:line="405" w:lineRule="exact"/>
        <w:rPr>
          <w:rFonts w:hint="eastAsia" w:ascii="黑体" w:eastAsia="黑体"/>
        </w:rPr>
        <w:sectPr>
          <w:pgSz w:w="11910" w:h="16840"/>
          <w:pgMar w:top="1320" w:right="1380" w:bottom="280" w:left="1680" w:header="720" w:footer="720" w:gutter="0"/>
          <w:cols w:space="720" w:num="1"/>
        </w:sectPr>
      </w:pPr>
    </w:p>
    <w:p>
      <w:pPr>
        <w:pStyle w:val="3"/>
        <w:spacing w:before="32"/>
      </w:pPr>
      <w:r>
        <w:rPr>
          <w:w w:val="99"/>
        </w:rPr>
        <w:t>无</w:t>
      </w:r>
    </w:p>
    <w:p>
      <w:pPr>
        <w:pStyle w:val="3"/>
        <w:rPr>
          <w:rFonts w:hint="eastAsia" w:ascii="黑体" w:eastAsia="黑体"/>
        </w:rPr>
      </w:pPr>
      <w:r>
        <w:rPr>
          <w:rFonts w:hint="eastAsia" w:ascii="黑体" w:eastAsia="黑体"/>
        </w:rPr>
        <w:t>八、办理时限</w:t>
      </w:r>
    </w:p>
    <w:p>
      <w:pPr>
        <w:pStyle w:val="3"/>
      </w:pPr>
      <w:r>
        <w:t>法定时限20个工作日，</w:t>
      </w:r>
    </w:p>
    <w:p>
      <w:pPr>
        <w:pStyle w:val="3"/>
        <w:spacing w:before="152" w:line="328" w:lineRule="auto"/>
        <w:ind w:right="5844"/>
        <w:rPr>
          <w:rFonts w:hint="eastAsia" w:ascii="黑体" w:eastAsia="黑体"/>
        </w:rPr>
      </w:pPr>
      <w:r>
        <w:rPr>
          <w:rFonts w:hint="eastAsia" w:ascii="黑体" w:eastAsia="黑体"/>
        </w:rPr>
        <w:t>九、收费标准</w:t>
      </w:r>
    </w:p>
    <w:p>
      <w:pPr>
        <w:pStyle w:val="3"/>
        <w:spacing w:before="152" w:line="328" w:lineRule="auto"/>
        <w:ind w:right="5844"/>
        <w:rPr>
          <w:rFonts w:ascii="Times New Roman"/>
          <w:sz w:val="17"/>
        </w:rPr>
      </w:pPr>
      <w:r>
        <w:rPr>
          <w:spacing w:val="-3"/>
        </w:rPr>
        <w:t>本事项不收费。</w:t>
      </w:r>
      <w:r>
        <w:rPr>
          <w:rFonts w:hint="eastAsia" w:ascii="黑体" w:eastAsia="黑体"/>
        </w:rPr>
        <w:t>十、咨询服务</w:t>
      </w:r>
      <w:r>
        <w:t>0535-</w:t>
      </w:r>
      <w:r>
        <w:rPr>
          <w:rFonts w:hint="eastAsia"/>
          <w:lang w:val="en-US" w:eastAsia="zh-CN"/>
        </w:rPr>
        <w:t>8211030</w:t>
      </w:r>
      <w:bookmarkStart w:id="0" w:name="_GoBack"/>
      <w:bookmarkEnd w:id="0"/>
    </w:p>
    <w:sectPr>
      <w:pgSz w:w="11910" w:h="16840"/>
      <w:pgMar w:top="1580" w:right="1380" w:bottom="280" w:left="16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1082" w:hanging="322"/>
        <w:jc w:val="left"/>
      </w:pPr>
      <w:rPr>
        <w:rFonts w:hint="default" w:ascii="仿宋_GB2312" w:hAnsi="仿宋_GB2312" w:eastAsia="仿宋_GB2312" w:cs="仿宋_GB2312"/>
        <w:spacing w:val="-2"/>
        <w:w w:val="99"/>
        <w:sz w:val="30"/>
        <w:szCs w:val="30"/>
        <w:lang w:val="zh-CN" w:eastAsia="zh-CN" w:bidi="zh-CN"/>
      </w:rPr>
    </w:lvl>
    <w:lvl w:ilvl="1" w:tentative="0">
      <w:start w:val="0"/>
      <w:numFmt w:val="bullet"/>
      <w:lvlText w:val="•"/>
      <w:lvlJc w:val="left"/>
      <w:pPr>
        <w:ind w:left="1856" w:hanging="322"/>
      </w:pPr>
      <w:rPr>
        <w:rFonts w:hint="default"/>
        <w:lang w:val="zh-CN" w:eastAsia="zh-CN" w:bidi="zh-CN"/>
      </w:rPr>
    </w:lvl>
    <w:lvl w:ilvl="2" w:tentative="0">
      <w:start w:val="0"/>
      <w:numFmt w:val="bullet"/>
      <w:lvlText w:val="•"/>
      <w:lvlJc w:val="left"/>
      <w:pPr>
        <w:ind w:left="2633" w:hanging="322"/>
      </w:pPr>
      <w:rPr>
        <w:rFonts w:hint="default"/>
        <w:lang w:val="zh-CN" w:eastAsia="zh-CN" w:bidi="zh-CN"/>
      </w:rPr>
    </w:lvl>
    <w:lvl w:ilvl="3" w:tentative="0">
      <w:start w:val="0"/>
      <w:numFmt w:val="bullet"/>
      <w:lvlText w:val="•"/>
      <w:lvlJc w:val="left"/>
      <w:pPr>
        <w:ind w:left="3409" w:hanging="322"/>
      </w:pPr>
      <w:rPr>
        <w:rFonts w:hint="default"/>
        <w:lang w:val="zh-CN" w:eastAsia="zh-CN" w:bidi="zh-CN"/>
      </w:rPr>
    </w:lvl>
    <w:lvl w:ilvl="4" w:tentative="0">
      <w:start w:val="0"/>
      <w:numFmt w:val="bullet"/>
      <w:lvlText w:val="•"/>
      <w:lvlJc w:val="left"/>
      <w:pPr>
        <w:ind w:left="4186" w:hanging="322"/>
      </w:pPr>
      <w:rPr>
        <w:rFonts w:hint="default"/>
        <w:lang w:val="zh-CN" w:eastAsia="zh-CN" w:bidi="zh-CN"/>
      </w:rPr>
    </w:lvl>
    <w:lvl w:ilvl="5" w:tentative="0">
      <w:start w:val="0"/>
      <w:numFmt w:val="bullet"/>
      <w:lvlText w:val="•"/>
      <w:lvlJc w:val="left"/>
      <w:pPr>
        <w:ind w:left="4963" w:hanging="322"/>
      </w:pPr>
      <w:rPr>
        <w:rFonts w:hint="default"/>
        <w:lang w:val="zh-CN" w:eastAsia="zh-CN" w:bidi="zh-CN"/>
      </w:rPr>
    </w:lvl>
    <w:lvl w:ilvl="6" w:tentative="0">
      <w:start w:val="0"/>
      <w:numFmt w:val="bullet"/>
      <w:lvlText w:val="•"/>
      <w:lvlJc w:val="left"/>
      <w:pPr>
        <w:ind w:left="5739" w:hanging="322"/>
      </w:pPr>
      <w:rPr>
        <w:rFonts w:hint="default"/>
        <w:lang w:val="zh-CN" w:eastAsia="zh-CN" w:bidi="zh-CN"/>
      </w:rPr>
    </w:lvl>
    <w:lvl w:ilvl="7" w:tentative="0">
      <w:start w:val="0"/>
      <w:numFmt w:val="bullet"/>
      <w:lvlText w:val="•"/>
      <w:lvlJc w:val="left"/>
      <w:pPr>
        <w:ind w:left="6516" w:hanging="322"/>
      </w:pPr>
      <w:rPr>
        <w:rFonts w:hint="default"/>
        <w:lang w:val="zh-CN" w:eastAsia="zh-CN" w:bidi="zh-CN"/>
      </w:rPr>
    </w:lvl>
    <w:lvl w:ilvl="8" w:tentative="0">
      <w:start w:val="0"/>
      <w:numFmt w:val="bullet"/>
      <w:lvlText w:val="•"/>
      <w:lvlJc w:val="left"/>
      <w:pPr>
        <w:ind w:left="7292" w:hanging="322"/>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xZjk1OTQzMGVmZjNhZDU2MTA4NWUzMjcyMjMxNDkifQ=="/>
  </w:docVars>
  <w:rsids>
    <w:rsidRoot w:val="00000000"/>
    <w:rsid w:val="3D8A6A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zh-CN" w:eastAsia="zh-CN" w:bidi="zh-CN"/>
    </w:rPr>
  </w:style>
  <w:style w:type="paragraph" w:styleId="2">
    <w:name w:val="heading 1"/>
    <w:basedOn w:val="1"/>
    <w:next w:val="1"/>
    <w:qFormat/>
    <w:uiPriority w:val="1"/>
    <w:pPr>
      <w:spacing w:before="109"/>
      <w:ind w:left="2495"/>
      <w:outlineLvl w:val="1"/>
    </w:pPr>
    <w:rPr>
      <w:rFonts w:ascii="宋体" w:hAnsi="宋体" w:eastAsia="宋体" w:cs="宋体"/>
      <w:sz w:val="44"/>
      <w:szCs w:val="44"/>
      <w:lang w:val="zh-CN" w:eastAsia="zh-CN" w:bidi="zh-CN"/>
    </w:rPr>
  </w:style>
  <w:style w:type="character" w:default="1" w:styleId="5">
    <w:name w:val="Default Paragraph Font"/>
    <w:semiHidden/>
    <w:unhideWhenUsed/>
    <w:uiPriority w:val="1"/>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pPr>
      <w:spacing w:before="149"/>
      <w:ind w:left="760"/>
    </w:pPr>
    <w:rPr>
      <w:rFonts w:ascii="仿宋_GB2312" w:hAnsi="仿宋_GB2312" w:eastAsia="仿宋_GB2312" w:cs="仿宋_GB2312"/>
      <w:sz w:val="32"/>
      <w:szCs w:val="32"/>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1082" w:hanging="323"/>
    </w:pPr>
    <w:rPr>
      <w:rFonts w:ascii="仿宋_GB2312" w:hAnsi="仿宋_GB2312" w:eastAsia="仿宋_GB2312" w:cs="仿宋_GB2312"/>
      <w:lang w:val="zh-CN" w:eastAsia="zh-CN" w:bidi="zh-CN"/>
    </w:rPr>
  </w:style>
  <w:style w:type="paragraph" w:customStyle="1" w:styleId="8">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3539</Words>
  <Characters>4115</Characters>
  <TotalTime>67</TotalTime>
  <ScaleCrop>false</ScaleCrop>
  <LinksUpToDate>false</LinksUpToDate>
  <CharactersWithSpaces>4246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2022-11-17T03:13:00Z</dcterms:created>
  <dc:creator>USER</dc:creator>
  <cp:lastModifiedBy>MoMo小僧</cp:lastModifiedBy>
  <dcterms:modified xsi:type="dcterms:W3CDTF">2022-11-17T05:12:34Z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2022-01-19T00:00:00Z</vt:filetime>
  </property>
  <property fmtid="{D5CDD505-2E9C-101B-9397-08002B2CF9AE}" pid="3" name="Creator">
    <vt:lpwstr>WPS 文字</vt:lpwstr>
  </property>
  <property fmtid="{D5CDD505-2E9C-101B-9397-08002B2CF9AE}" pid="4" name="LastSaved">
    <vt:filetime>2022-11-17T00:00:00Z</vt:filetime>
  </property>
  <property fmtid="{D5CDD505-2E9C-101B-9397-08002B2CF9AE}" pid="5" name="KSOProductBuildVer">
    <vt:lpwstr>2052-11.1.0.12763</vt:lpwstr>
  </property>
  <property fmtid="{D5CDD505-2E9C-101B-9397-08002B2CF9AE}" pid="6" name="ICV">
    <vt:lpwstr>DC1ADF3B6C034FEEBA7158C3DF50FB8D</vt:lpwstr>
  </property>
</Properties>
</file>