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招远市交通运输局行政执法事项清单</w:t>
      </w:r>
    </w:p>
    <w:tbl>
      <w:tblPr>
        <w:tblW w:w="13903" w:type="dxa"/>
        <w:tblInd w:w="0" w:type="dxa"/>
        <w:shd w:val="clear"/>
        <w:tblLayout w:type="fixed"/>
        <w:tblCellMar>
          <w:top w:w="0" w:type="dxa"/>
          <w:left w:w="0" w:type="dxa"/>
          <w:bottom w:w="0" w:type="dxa"/>
          <w:right w:w="0" w:type="dxa"/>
        </w:tblCellMar>
      </w:tblPr>
      <w:tblGrid>
        <w:gridCol w:w="1482"/>
        <w:gridCol w:w="3211"/>
        <w:gridCol w:w="9210"/>
      </w:tblGrid>
      <w:tr>
        <w:tblPrEx>
          <w:shd w:val="clear"/>
          <w:tblLayout w:type="fixed"/>
          <w:tblCellMar>
            <w:top w:w="0" w:type="dxa"/>
            <w:left w:w="0" w:type="dxa"/>
            <w:bottom w:w="0" w:type="dxa"/>
            <w:right w:w="0" w:type="dxa"/>
          </w:tblCellMar>
        </w:tblPrEx>
        <w:trPr>
          <w:trHeight w:val="270" w:hRule="atLeast"/>
        </w:trPr>
        <w:tc>
          <w:tcPr>
            <w:tcW w:w="14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bCs/>
                <w:i w:val="0"/>
                <w:caps w:val="0"/>
                <w:color w:val="000000"/>
                <w:spacing w:val="0"/>
                <w:sz w:val="28"/>
                <w:szCs w:val="28"/>
              </w:rPr>
            </w:pPr>
            <w:r>
              <w:rPr>
                <w:rFonts w:hint="eastAsia" w:ascii="仿宋_GB2312" w:hAnsi="仿宋_GB2312" w:eastAsia="仿宋_GB2312" w:cs="仿宋_GB2312"/>
                <w:b/>
                <w:bCs/>
                <w:i w:val="0"/>
                <w:caps w:val="0"/>
                <w:color w:val="000000"/>
                <w:spacing w:val="0"/>
                <w:kern w:val="0"/>
                <w:sz w:val="28"/>
                <w:szCs w:val="28"/>
                <w:bdr w:val="none" w:color="auto" w:sz="0" w:space="0"/>
                <w:lang w:val="en-US" w:eastAsia="zh-CN" w:bidi="ar"/>
              </w:rPr>
              <w:t>序号</w:t>
            </w:r>
          </w:p>
        </w:tc>
        <w:tc>
          <w:tcPr>
            <w:tcW w:w="321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bCs/>
                <w:i w:val="0"/>
                <w:caps w:val="0"/>
                <w:color w:val="000000"/>
                <w:spacing w:val="0"/>
                <w:sz w:val="28"/>
                <w:szCs w:val="28"/>
              </w:rPr>
            </w:pPr>
            <w:r>
              <w:rPr>
                <w:rFonts w:hint="eastAsia" w:ascii="仿宋_GB2312" w:hAnsi="仿宋_GB2312" w:eastAsia="仿宋_GB2312" w:cs="仿宋_GB2312"/>
                <w:b/>
                <w:bCs/>
                <w:i w:val="0"/>
                <w:caps w:val="0"/>
                <w:color w:val="000000"/>
                <w:spacing w:val="0"/>
                <w:kern w:val="0"/>
                <w:sz w:val="28"/>
                <w:szCs w:val="28"/>
                <w:bdr w:val="none" w:color="auto" w:sz="0" w:space="0"/>
                <w:lang w:val="en-US" w:eastAsia="zh-CN" w:bidi="ar"/>
              </w:rPr>
              <w:t>事项类型</w:t>
            </w:r>
          </w:p>
        </w:tc>
        <w:tc>
          <w:tcPr>
            <w:tcW w:w="921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bCs/>
                <w:i w:val="0"/>
                <w:caps w:val="0"/>
                <w:color w:val="000000"/>
                <w:spacing w:val="0"/>
                <w:sz w:val="28"/>
                <w:szCs w:val="28"/>
              </w:rPr>
            </w:pPr>
            <w:r>
              <w:rPr>
                <w:rFonts w:hint="eastAsia" w:ascii="仿宋_GB2312" w:hAnsi="仿宋_GB2312" w:eastAsia="仿宋_GB2312" w:cs="仿宋_GB2312"/>
                <w:b/>
                <w:bCs/>
                <w:i w:val="0"/>
                <w:caps w:val="0"/>
                <w:color w:val="000000"/>
                <w:spacing w:val="0"/>
                <w:kern w:val="0"/>
                <w:sz w:val="28"/>
                <w:szCs w:val="28"/>
                <w:bdr w:val="none" w:color="auto" w:sz="0" w:space="0"/>
                <w:lang w:val="en-US" w:eastAsia="zh-CN" w:bidi="ar"/>
              </w:rPr>
              <w:t>事项名称</w:t>
            </w:r>
          </w:p>
        </w:tc>
      </w:tr>
      <w:tr>
        <w:tblPrEx>
          <w:tblLayout w:type="fixed"/>
          <w:tblCellMar>
            <w:top w:w="0" w:type="dxa"/>
            <w:left w:w="0" w:type="dxa"/>
            <w:bottom w:w="0" w:type="dxa"/>
            <w:right w:w="0" w:type="dxa"/>
          </w:tblCellMar>
        </w:tblPrEx>
        <w:trPr>
          <w:trHeight w:val="270" w:hRule="atLeast"/>
        </w:trPr>
        <w:tc>
          <w:tcPr>
            <w:tcW w:w="14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b w:val="0"/>
                <w:i w:val="0"/>
                <w:caps w:val="0"/>
                <w:color w:val="000000"/>
                <w:spacing w:val="0"/>
                <w:sz w:val="28"/>
                <w:szCs w:val="28"/>
              </w:rPr>
            </w:pPr>
          </w:p>
        </w:tc>
        <w:tc>
          <w:tcPr>
            <w:tcW w:w="321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b w:val="0"/>
                <w:i w:val="0"/>
                <w:caps w:val="0"/>
                <w:color w:val="000000"/>
                <w:spacing w:val="0"/>
                <w:sz w:val="28"/>
                <w:szCs w:val="28"/>
              </w:rPr>
            </w:pPr>
          </w:p>
        </w:tc>
        <w:tc>
          <w:tcPr>
            <w:tcW w:w="921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b w:val="0"/>
                <w:i w:val="0"/>
                <w:caps w:val="0"/>
                <w:color w:val="000000"/>
                <w:spacing w:val="0"/>
                <w:sz w:val="28"/>
                <w:szCs w:val="28"/>
              </w:rPr>
            </w:pP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对擅自在公路上设卡、收费的处罚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对未经交通主管部门批准擅自施工的处罚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对损害公路、公路附属设施危及公路安全的处罚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对货运车辆超限运输的处罚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​对违法超限运输的车辆、从业人员、企业的处罚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对指使、强令车辆驾驶人超限运输货物的处罚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对违反公路建筑控制区管理的处罚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对涉路工程建设单位未按照许可要求组织建设的处罚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对未取得道路运输经营许可，擅自从事道路运输经营的处罚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对未取得相应从业资格证件，驾驶道路客货运输车辆的处罚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对未经许可擅自从事道路运输站（场）经营、机动车驾驶员培训的处罚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对机动车驾驶员培训机构不严格按照规定进行培训或者在培训结业证书发放时弄虚作假的处罚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对违反机动车维修经营业务规范的处罚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对道路运输经营者、客货运站经营者非法转让、出租道路运输经营许可证件的处罚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对道路运输经营者违反投保承运人责任险的处罚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对道路运输经营者不按照规定携带《道路运输证》的处罚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对取得道路运输经营许可的道路运输经营者使用无《道路运输证》的车辆参加道路运输经营经营的处罚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对不按规定使用道路运输业专用票证或者转让、倒卖、伪造道路运输业专用票证的处罚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对违反道路客运经营行为规定的处罚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对客货运经营者、客货运站经营者、放射性物品道路运输企业或者单位已不具备开业要求的有关安全条件、存在重大运输安全隐患的处罚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对违反客运站经营行为规定的处罚</w:t>
            </w:r>
          </w:p>
        </w:tc>
      </w:tr>
      <w:tr>
        <w:tblPrEx>
          <w:tblLayout w:type="fixed"/>
          <w:tblCellMar>
            <w:top w:w="0" w:type="dxa"/>
            <w:left w:w="0" w:type="dxa"/>
            <w:bottom w:w="0" w:type="dxa"/>
            <w:right w:w="0" w:type="dxa"/>
          </w:tblCellMar>
        </w:tblPrEx>
        <w:trPr>
          <w:trHeight w:val="81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对省际、市际客运班线的经营者或者其委托的售票单位、起讫点和中途停靠站点客运站经营者未按规定对旅客身份进行查验，或者对身份不明、拒绝提供身份信息的旅客提供服务的处罚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对违反道路货物运输经营行为规定的处罚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对货运站经营者对超限、超载车辆配载，放行出站的处罚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对货运站经营者擅自改变道路运输站（场）的用途和服务功能的处罚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对客运经营者、货运经营者不按规定维护和检测运输车辆或擅自改装已取得车辆营运证的车辆的处罚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对违反危险化学品道路、水路运输管理规定的处罚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对道路危险货物运输企业或者单位未配备专职安全管理人员的处罚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29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对委托未依法取得危险货物道路运输许可的企业承运危险化学品或在托运的普通货物中夹带危险化学品，或者将危险化学品谎报或者匿报为普通货物托运的处罚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对拒绝、阻碍道路运输管理机构依法履行放射性物品运输安全监督检查，或者在接受监督检查时弄虚作假的处罚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对机动车维修经营者使用假冒伪劣配件维修机动车，承修已报废的机动车或者擅自改装机动车的处罚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对机动车维修经营者签发虚假的或者不签发机动车维修竣工出厂合格证的处罚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对违反出租汽车从业资格证管理规定从事经营活动的处罚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对出租汽车驾驶员不按规定注册的处罚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对出租汽车驾驶员违反出租汽车运营管理规定的处罚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对出租汽车经营者违反从业人员管理规定的处罚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对道路运输经营者违反道路运输车辆技术管理规定的处罚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对国际道路运输经营者违反国际道路运输经营行为规定的处罚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39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对道路运输企业违反道路运输车辆动态管理规定的处罚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对道路运输经营者使用卫星定位装置出现故障不能保持在线的运输车辆从事经营活动的处罚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对破坏卫星定位装置信号、数据的处罚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对违反城市公共汽（电）车、出租汽车、机动车驾驶员培训管理规定的处罚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对违反道路运输经营行为规定的处罚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对未经许可擅自从事城市公共汽（电）车客运经营、出租汽车客运经营的处罚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对违反巡游出租汽车经营许可行为的处罚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对巡游出租汽车经营者违反出租汽车经营管理规定的处罚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对巡游出租汽车驾驶员违反出租汽车经营管理规定的处罚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对巡游出租汽车驾驶员不服从调度私自揽客或转让、倒卖、伪造巡游出租汽车相关票据的处罚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49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对违反网约车经营许可行为的处罚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对网约车平台公司违反网约车经营行为规定的处罚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对网约车驾驶员违反网约车驾驶规定行为的处罚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对未取得线路运营权、未与城市公共交通主管部门签订城市公共汽电车线路特许经营协议，擅自从事城市公共汽电车客运线路运营的处罚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对未配置符合要求的服务设施和运营标识的处罚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对城市公共汽电车运营企业未履行相关义务的处罚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对运营企业未制定应急预案並组织演练的处罚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对运营企业未按照应急预案的规定采取应急处置措施的处罚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对城市公共汽电车客运场站和服务设施的日常管理单位未按照规定对有关场站设施进行管理和维护的处罚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对危害城市公共汽电车客运服务设施行为的处罚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59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对旅客运输车辆载客超过额定乘员的处罚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对城市轨道交通工程项目（含甩项工程）未经安全评估投入运营的处罚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对城市轨道交通运营单位未全程参与试运行等行为的处罚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对运营单位未按照规定上报城市轨道交通运营相关信息或者运营安全重大故障和事故的处罚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对城市轨道交通运营单位未履行相关义务的处罚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对高架线路桥下的空间使用可能危害运营安全的﹔地面、高架线路沿线建（构）筑物或者植物妨碍行车了望、侵入限界的处罚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对危害城市轨道交通运营设施设备安全、运营安全行为的处罚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对取得道路运输经营许可的企业或者个体经营者使用未取得校车标牌的车辆提供校车服务，或者使用未取得校车驾驶资格的人员驾驶校车的处罚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对出租汽车经营者聘用未取得从业资格证的人员，驾驶出租汽车从事经营活动的处罚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对未经许可擅自经营或者超越许可范围经营水路运输业务或者国内船舶管理业务的处罚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69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对以欺骗或者贿赂等不正当手段取得国内水路运输许可的处罚</w:t>
            </w:r>
          </w:p>
        </w:tc>
      </w:tr>
      <w:tr>
        <w:tblPrEx>
          <w:tblLayout w:type="fixed"/>
          <w:tblCellMar>
            <w:top w:w="0" w:type="dxa"/>
            <w:left w:w="0" w:type="dxa"/>
            <w:bottom w:w="0" w:type="dxa"/>
            <w:right w:w="0" w:type="dxa"/>
          </w:tblCellMar>
        </w:tblPrEx>
        <w:trPr>
          <w:trHeight w:val="9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对出租、出借、倒卖或者以其他方式非法转让国内水路运输经营资格的处罚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对水路旅客运输业务经营者、班轮运输业务经营者、旅客班轮运输业务经营者违反水路运输管理规定的行为的处罚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对水路运输、船舶管理业务经营者未履行义务的处罚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对水路运输辅助业务经营者违规经营处罚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对水路运输经营许可证未按期审验或未审验合格，不符合安全运营条件的处罚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对违反水路旅客运输实名制管理规定，未对客户身份进行查验，或者对身份不明、拒绝身份查验的客户提供服务的处罚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对违反海运固体散装货物安全监管行为的处罚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对港口建设违法行为的处罚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对危险货物港口建设违法行为的处罚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79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对港口经营人违法经营的处罚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对违规从事港口危险化学品作业的处罚</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对港口危货储存主要安全管理人员、水路运输企业的装卸管理人员、申报员、检查员及聘用企业违反安全管理规定行为的处罚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对不符合港口安保行为的处罚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对拒绝、阻碍水运监督检查的处罚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对违反航道管理规定的处罚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对建设单位违规建设的处罚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对建设单位违规验收使用的处罚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对勘察设计单位违规的处罚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对施工单位违规的处罚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89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对监理单位违规监理的处罚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对公路水运工程其他从业单位违规的处罚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对招投标违规行为的处罚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对违反质量管理规定的处罚</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行政处罚</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对建设单位、施工单位及从业单位违反工程安全生产管理规定的处罚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对没有车辆营运证又无法当场提供其他有效证明的车辆的暂扣</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对经批准进行超限运输，未按照指定时间、路线和速度行驶，拒不改正及未随车携带超限运输车辆通行证的车辆的扣留</w:t>
            </w:r>
          </w:p>
        </w:tc>
      </w:tr>
      <w:tr>
        <w:tblPrEx>
          <w:tblLayout w:type="fixed"/>
          <w:tblCellMar>
            <w:top w:w="0" w:type="dxa"/>
            <w:left w:w="0" w:type="dxa"/>
            <w:bottom w:w="0" w:type="dxa"/>
            <w:right w:w="0" w:type="dxa"/>
          </w:tblCellMar>
        </w:tblPrEx>
        <w:trPr>
          <w:trHeight w:val="600"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对采取故意堵塞固定超限检测站点通行车道、强行通过固定超限检测站点等方式扰乱超限检测秩序，采取短途駁载等方式逃避超限检测的车辆的扣留</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对造成公路、公路附属设施损坏，拒不接受公路管理机构现场调查处理的车辆、工具的扣留</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对在公路用地范围内擅自设置的非公路标志的拆除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99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对建筑物、地面构筑物或者擅自埋设管线、电缆等设施拆除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对道路、河道、航道的遗洒物、障碍物或者污染物清除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对扣押的车辆和工具拍卖或者依法处理</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对车辆超载行为强制卸货</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强制消除港口水域安全隐患</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依法组织清除影响航道通航条件的临时设施及其残留物</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未及时修复港口公共基础设施、清除港区内废弃物的代处理</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对非法采砂船舶的扣押</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对当事人逾期不履行金钱给付义务决定作出的加处罚款</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行政强制</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对用於违法运输危险化学品的设备、运输工具的扣押</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109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行政裁决</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客运经营者在发车时间安排上发生纠纷的裁决</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在公路桥梁跨越的河道上下游各500米范围内进行疏浚作业的安全确认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公路、水运工程质量监督申请登记</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公路、水运工程质量交工核验</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公路、水运工程质量竣工鉴定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公路路产损坏责任认定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出具公路工程参建单位工作综合评价等级证书</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道路客运站站级核定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道路运输驾驶员继续教育确认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特定时段开行包车或者加班车资质确认</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119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行政确认</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营运客车类型等级评定</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行政奖励</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对出租汽车经营者和驾驶员的奖励</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对交通运输行业安全生产的监督检查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对公路的监督检查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对道路运输的监督检查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对水路运输企业经营行为实施的监督检查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对航道通航情况的监督检查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行政检查</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对公路水运工程质量的监督检查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公路、水运工程竣工验收</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公路水运工程工地试验室备案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129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公路水运工程安全生产条件备案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组织或参与处理有关公路水运工程事故调查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交通运输建设市场信用管理</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公路工程项目交工验收备案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交通工程项目招投标监督管理</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公路建设项目法人资格审查备案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道路运输车辆年度审验</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省际包车客运企业使用包车客运标志牌的备案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城市公共汽电车车辆和驾驶员、乘务员培训、考核情况备案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货运代理等货运相关服务的备案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139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机动车维修经营备案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机动车维修经营者执行的机动车维修工时单价标准的备案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机动车维修质量纠纷调解</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机动车驾驶员培训机构学时收费标准备案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道路运输和道路运输相关业务经营者质量信誉考核</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144</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出租汽车服务质量信誉考核</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145</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道路运输企业新建或者变更道路运输车辆动态监控平台的备案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146</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道路运输企业设立分公司的备案</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147</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道路运输和道路运输相关业务经营者变更法定代表人、名称、地址等事项的备案</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148</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道路运输达标车辆核查</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149</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道路运输车辆转籍、过户</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150</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道路运输单位的主要负责人和安全生产管理人员安全生产知识和管理能力考核</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151</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道路运输车辆营运证和客运标志牌配发、换发、补发</w:t>
            </w:r>
          </w:p>
        </w:tc>
      </w:tr>
      <w:tr>
        <w:tblPrEx>
          <w:tblLayout w:type="fixed"/>
          <w:tblCellMar>
            <w:top w:w="0" w:type="dxa"/>
            <w:left w:w="0" w:type="dxa"/>
            <w:bottom w:w="0" w:type="dxa"/>
            <w:right w:w="0" w:type="dxa"/>
          </w:tblCellMar>
        </w:tblPrEx>
        <w:trPr>
          <w:trHeight w:val="196"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152</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水路运输企业经营和安全生产备案</w:t>
            </w:r>
          </w:p>
        </w:tc>
      </w:tr>
      <w:tr>
        <w:tblPrEx>
          <w:tblLayout w:type="fixed"/>
          <w:tblCellMar>
            <w:top w:w="0" w:type="dxa"/>
            <w:left w:w="0" w:type="dxa"/>
            <w:bottom w:w="0" w:type="dxa"/>
            <w:right w:w="0" w:type="dxa"/>
          </w:tblCellMar>
        </w:tblPrEx>
        <w:trPr>
          <w:trHeight w:val="405" w:hRule="atLeast"/>
        </w:trPr>
        <w:tc>
          <w:tcPr>
            <w:tcW w:w="14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153</w:t>
            </w:r>
          </w:p>
        </w:tc>
        <w:tc>
          <w:tcPr>
            <w:tcW w:w="32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其他行政权力</w:t>
            </w:r>
          </w:p>
        </w:tc>
        <w:tc>
          <w:tcPr>
            <w:tcW w:w="92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kern w:val="0"/>
                <w:sz w:val="28"/>
                <w:szCs w:val="28"/>
                <w:bdr w:val="none" w:color="auto" w:sz="0" w:space="0"/>
                <w:lang w:val="en-US" w:eastAsia="zh-CN" w:bidi="ar"/>
              </w:rPr>
              <w:t>港口危货储存单位的主要负责人和安全生产管理人员安全生产知识和管理能力考核</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ans-serif">
    <w:altName w:val="Latha"/>
    <w:panose1 w:val="00000000000000000000"/>
    <w:charset w:val="00"/>
    <w:family w:val="auto"/>
    <w:pitch w:val="default"/>
    <w:sig w:usb0="00000000" w:usb1="00000000" w:usb2="00000000" w:usb3="00000000" w:csb0="00000000" w:csb1="00000000"/>
  </w:font>
  <w:font w:name="Microsoft YaHe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64158"/>
    <w:rsid w:val="7CF91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2023-12-21T02:25:14Z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