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EA25" w14:textId="77777777" w:rsidR="005A72BC" w:rsidRPr="00783003" w:rsidRDefault="00000000">
      <w:pPr>
        <w:pStyle w:val="a3"/>
        <w:kinsoku w:val="0"/>
        <w:overflowPunct w:val="0"/>
        <w:spacing w:before="332"/>
        <w:ind w:left="311"/>
        <w:rPr>
          <w:rFonts w:ascii="方正小标宋简体" w:eastAsia="方正小标宋简体" w:hAnsi="方正小标宋简体" w:hint="eastAsia"/>
          <w:sz w:val="44"/>
        </w:rPr>
      </w:pPr>
      <w:r w:rsidRPr="00783003">
        <w:rPr>
          <w:rFonts w:ascii="方正小标宋简体" w:eastAsia="方正小标宋简体" w:hAnsi="方正小标宋简体" w:hint="eastAsia"/>
          <w:sz w:val="44"/>
        </w:rPr>
        <w:t>招远市医疗保障局行政处罚自由裁量基准</w:t>
      </w:r>
    </w:p>
    <w:p w14:paraId="0EC67838" w14:textId="77777777" w:rsidR="005A72BC" w:rsidRPr="00783003" w:rsidRDefault="005A72BC">
      <w:pPr>
        <w:pStyle w:val="a3"/>
        <w:kinsoku w:val="0"/>
        <w:overflowPunct w:val="0"/>
        <w:spacing w:before="0"/>
        <w:ind w:left="0"/>
        <w:rPr>
          <w:rFonts w:ascii="方正小标宋简体" w:eastAsia="方正小标宋简体" w:hAnsi="方正小标宋简体" w:hint="eastAsia"/>
          <w:sz w:val="31"/>
        </w:rPr>
      </w:pPr>
    </w:p>
    <w:p w14:paraId="6EFEA999" w14:textId="3146C60C" w:rsidR="005A72BC" w:rsidRPr="00783003" w:rsidRDefault="00000000">
      <w:pPr>
        <w:pStyle w:val="a3"/>
        <w:kinsoku w:val="0"/>
        <w:overflowPunct w:val="0"/>
        <w:spacing w:before="0" w:line="328" w:lineRule="auto"/>
        <w:ind w:right="117" w:firstLine="640"/>
        <w:jc w:val="both"/>
        <w:rPr>
          <w:rFonts w:ascii="黑体" w:eastAsia="黑体" w:hAnsi="黑体" w:hint="eastAsia"/>
          <w:spacing w:val="-5"/>
        </w:rPr>
      </w:pPr>
      <w:r w:rsidRPr="00783003">
        <w:rPr>
          <w:rFonts w:ascii="黑体" w:eastAsia="黑体" w:hAnsi="黑体" w:hint="eastAsia"/>
          <w:spacing w:val="-4"/>
        </w:rPr>
        <w:t>一、</w:t>
      </w:r>
      <w:r w:rsidR="00067059" w:rsidRPr="00783003">
        <w:rPr>
          <w:rFonts w:ascii="黑体" w:eastAsia="黑体" w:hAnsi="黑体" w:hint="eastAsia"/>
          <w:spacing w:val="-4"/>
        </w:rPr>
        <w:t>定点医药机构违法使用医疗保障基金造成基金损失行为</w:t>
      </w:r>
      <w:r w:rsidRPr="00783003">
        <w:rPr>
          <w:rFonts w:ascii="黑体" w:eastAsia="黑体" w:hAnsi="黑体" w:hint="eastAsia"/>
          <w:spacing w:val="-5"/>
        </w:rPr>
        <w:t>的行政处罚</w:t>
      </w:r>
    </w:p>
    <w:p w14:paraId="3869FF5D" w14:textId="6E8A753F" w:rsidR="00C13C79" w:rsidRPr="00783003" w:rsidRDefault="00C13C79">
      <w:pPr>
        <w:pStyle w:val="a3"/>
        <w:kinsoku w:val="0"/>
        <w:overflowPunct w:val="0"/>
        <w:spacing w:before="0" w:line="328" w:lineRule="auto"/>
        <w:ind w:right="117" w:firstLine="640"/>
        <w:jc w:val="both"/>
        <w:rPr>
          <w:rFonts w:hint="eastAsia"/>
          <w:spacing w:val="-14"/>
        </w:rPr>
      </w:pPr>
      <w:r w:rsidRPr="00783003">
        <w:rPr>
          <w:rFonts w:hint="eastAsia"/>
          <w:spacing w:val="-14"/>
        </w:rPr>
        <w:t>处罚依据：</w:t>
      </w:r>
      <w:r w:rsidR="00783003" w:rsidRPr="00783003">
        <w:rPr>
          <w:rFonts w:hint="eastAsia"/>
          <w:spacing w:val="-14"/>
        </w:rPr>
        <w:t>《山东省医疗保障行政处罚（处理）裁量基准》</w:t>
      </w:r>
      <w:r w:rsidRPr="00783003">
        <w:rPr>
          <w:rFonts w:hint="eastAsia"/>
          <w:spacing w:val="-14"/>
        </w:rPr>
        <w:t>第</w:t>
      </w:r>
      <w:r w:rsidR="00783003" w:rsidRPr="00783003">
        <w:rPr>
          <w:rFonts w:hint="eastAsia"/>
          <w:spacing w:val="-14"/>
        </w:rPr>
        <w:t>四</w:t>
      </w:r>
      <w:r w:rsidRPr="00783003">
        <w:rPr>
          <w:rFonts w:hint="eastAsia"/>
          <w:spacing w:val="-14"/>
        </w:rPr>
        <w:t>条裁量基准：</w:t>
      </w:r>
    </w:p>
    <w:p w14:paraId="53C2F5EB" w14:textId="2694102A" w:rsidR="00C13C79" w:rsidRPr="00783003" w:rsidRDefault="00C13C79" w:rsidP="00C13C79">
      <w:pPr>
        <w:pStyle w:val="a3"/>
        <w:kinsoku w:val="0"/>
        <w:overflowPunct w:val="0"/>
        <w:spacing w:before="0" w:line="328" w:lineRule="auto"/>
        <w:ind w:right="117" w:firstLine="640"/>
        <w:jc w:val="both"/>
        <w:rPr>
          <w:rFonts w:hint="eastAsia"/>
        </w:rPr>
      </w:pPr>
      <w:r w:rsidRPr="00783003">
        <w:rPr>
          <w:rFonts w:hint="eastAsia"/>
        </w:rPr>
        <w:t>（一）不予行政处罚（处理）：符合《山东省医疗保障行政处罚裁量权适用规则》第八条、第九条规定的情形之一的不予行政处罚（处理）；</w:t>
      </w:r>
    </w:p>
    <w:p w14:paraId="0C87EF57" w14:textId="04CD8ADB" w:rsidR="00C13C79" w:rsidRPr="00783003" w:rsidRDefault="00C13C79" w:rsidP="00C13C79">
      <w:pPr>
        <w:pStyle w:val="a3"/>
        <w:kinsoku w:val="0"/>
        <w:overflowPunct w:val="0"/>
        <w:spacing w:before="0" w:line="328" w:lineRule="auto"/>
        <w:ind w:right="117" w:firstLine="640"/>
        <w:jc w:val="both"/>
        <w:rPr>
          <w:rFonts w:hint="eastAsia"/>
        </w:rPr>
      </w:pPr>
      <w:r w:rsidRPr="00783003">
        <w:rPr>
          <w:rFonts w:hint="eastAsia"/>
        </w:rPr>
        <w:t>（二）可以不予行政处罚（处理）：初次违法且造成医疗保障基金损失在5000元以下并及时改正的可以不予行政处罚（处理）；</w:t>
      </w:r>
    </w:p>
    <w:p w14:paraId="467AB3DF" w14:textId="7AEC2D43" w:rsidR="00C13C79" w:rsidRPr="00783003" w:rsidRDefault="00C13C79" w:rsidP="00C13C79">
      <w:pPr>
        <w:pStyle w:val="a3"/>
        <w:kinsoku w:val="0"/>
        <w:overflowPunct w:val="0"/>
        <w:spacing w:before="0" w:line="328" w:lineRule="auto"/>
        <w:ind w:right="117" w:firstLine="640"/>
        <w:jc w:val="both"/>
        <w:rPr>
          <w:rFonts w:hint="eastAsia"/>
        </w:rPr>
      </w:pPr>
      <w:r w:rsidRPr="00783003">
        <w:rPr>
          <w:rFonts w:hint="eastAsia"/>
        </w:rPr>
        <w:t>（三）</w:t>
      </w:r>
      <w:r w:rsidRPr="00783003">
        <w:rPr>
          <w:rFonts w:hint="eastAsia"/>
          <w:spacing w:val="-9"/>
        </w:rPr>
        <w:t>从轻行政处罚（处理）：造成医疗保障基金损失金额不满20万元的</w:t>
      </w:r>
      <w:proofErr w:type="gramStart"/>
      <w:r w:rsidRPr="00783003">
        <w:rPr>
          <w:rFonts w:hint="eastAsia"/>
          <w:spacing w:val="-9"/>
        </w:rPr>
        <w:t>处造成</w:t>
      </w:r>
      <w:proofErr w:type="gramEnd"/>
      <w:r w:rsidRPr="00783003">
        <w:rPr>
          <w:rFonts w:hint="eastAsia"/>
          <w:spacing w:val="-9"/>
        </w:rPr>
        <w:t>损失金额1倍以上、不满1.3倍的罚款；约谈有关负责人；相关责任部门拒不改正的，责令定点医药机构暂停相关责任部门6个月以上、不满8个月涉及医疗保障基金使用的医药服务；</w:t>
      </w:r>
    </w:p>
    <w:p w14:paraId="54A863D0" w14:textId="733EDCD7" w:rsidR="00C13C79" w:rsidRPr="00783003" w:rsidRDefault="00C13C79" w:rsidP="00C13C79">
      <w:pPr>
        <w:pStyle w:val="a3"/>
        <w:kinsoku w:val="0"/>
        <w:overflowPunct w:val="0"/>
        <w:spacing w:before="0" w:line="328" w:lineRule="auto"/>
        <w:ind w:right="117" w:firstLine="640"/>
        <w:jc w:val="both"/>
        <w:rPr>
          <w:rFonts w:hint="eastAsia"/>
        </w:rPr>
      </w:pPr>
      <w:r w:rsidRPr="00783003">
        <w:rPr>
          <w:rFonts w:hint="eastAsia"/>
        </w:rPr>
        <w:t>（四</w:t>
      </w:r>
      <w:r w:rsidRPr="00783003">
        <w:rPr>
          <w:rFonts w:hint="eastAsia"/>
          <w:spacing w:val="-3"/>
        </w:rPr>
        <w:t>）</w:t>
      </w:r>
      <w:r w:rsidRPr="00783003">
        <w:rPr>
          <w:rFonts w:hint="eastAsia"/>
          <w:spacing w:val="-9"/>
        </w:rPr>
        <w:t>一般行政处罚（处理）：造成</w:t>
      </w:r>
      <w:proofErr w:type="gramStart"/>
      <w:r w:rsidRPr="00783003">
        <w:rPr>
          <w:rFonts w:hint="eastAsia"/>
          <w:spacing w:val="-9"/>
        </w:rPr>
        <w:t>医</w:t>
      </w:r>
      <w:proofErr w:type="gramEnd"/>
      <w:r w:rsidRPr="00783003">
        <w:rPr>
          <w:rFonts w:hint="eastAsia"/>
          <w:spacing w:val="-9"/>
        </w:rPr>
        <w:t>保基金损失金额20万元以上、不满100万元的</w:t>
      </w:r>
      <w:proofErr w:type="gramStart"/>
      <w:r w:rsidRPr="00783003">
        <w:rPr>
          <w:rFonts w:hint="eastAsia"/>
          <w:spacing w:val="-9"/>
        </w:rPr>
        <w:t>处造成</w:t>
      </w:r>
      <w:proofErr w:type="gramEnd"/>
      <w:r w:rsidRPr="00783003">
        <w:rPr>
          <w:rFonts w:hint="eastAsia"/>
          <w:spacing w:val="-9"/>
        </w:rPr>
        <w:t>损失金额1.3倍以上、不满1.7倍的罚款；约谈有关负责人；相关责任部门拒不改正的，责令定点医药机构暂停相关责任部门8个月以上、不满10个月涉及医疗保障基金使用的医药服务</w:t>
      </w:r>
      <w:r w:rsidRPr="00783003">
        <w:rPr>
          <w:rFonts w:hint="eastAsia"/>
        </w:rPr>
        <w:t>；</w:t>
      </w:r>
    </w:p>
    <w:p w14:paraId="5615EDD4" w14:textId="1DBA434E" w:rsidR="00C13C79" w:rsidRPr="00783003" w:rsidRDefault="00C13C79" w:rsidP="00C13C79">
      <w:pPr>
        <w:pStyle w:val="a3"/>
        <w:kinsoku w:val="0"/>
        <w:overflowPunct w:val="0"/>
        <w:spacing w:before="0" w:line="328" w:lineRule="auto"/>
        <w:ind w:right="117" w:firstLine="640"/>
        <w:jc w:val="both"/>
        <w:rPr>
          <w:rFonts w:hint="eastAsia"/>
        </w:rPr>
      </w:pPr>
      <w:r w:rsidRPr="00783003">
        <w:rPr>
          <w:rFonts w:hint="eastAsia"/>
        </w:rPr>
        <w:t>（五）从重行政处罚（处理）：造成医疗保障基金损失金额100万元以上的</w:t>
      </w:r>
      <w:proofErr w:type="gramStart"/>
      <w:r w:rsidRPr="00783003">
        <w:rPr>
          <w:rFonts w:hint="eastAsia"/>
        </w:rPr>
        <w:t>处造成</w:t>
      </w:r>
      <w:proofErr w:type="gramEnd"/>
      <w:r w:rsidRPr="00783003">
        <w:rPr>
          <w:rFonts w:hint="eastAsia"/>
        </w:rPr>
        <w:t>损失金额1.7倍以上、2倍以下的罚款；约谈有关负责人；相关责任部门造成医疗保障基金损失100万元以上、不满200万元但及时改正的，责令定</w:t>
      </w:r>
      <w:r w:rsidRPr="00783003">
        <w:rPr>
          <w:rFonts w:hint="eastAsia"/>
        </w:rPr>
        <w:lastRenderedPageBreak/>
        <w:t>点医药机构暂停相关责任部门6个月以上、不满8个月涉及医疗保障基金使用的医药服务；相关责任部门造成医疗保障基金损失200万元以上、不满300万元但及时改正的，责令定点医药机构暂停相关责任部门8个月以上、不满10个月涉及医疗保障基金使用的医药服务；相关责任部门造成医疗保障基金损失300万元</w:t>
      </w:r>
      <w:proofErr w:type="gramStart"/>
      <w:r w:rsidRPr="00783003">
        <w:rPr>
          <w:rFonts w:hint="eastAsia"/>
        </w:rPr>
        <w:t>以上但及时</w:t>
      </w:r>
      <w:proofErr w:type="gramEnd"/>
      <w:r w:rsidRPr="00783003">
        <w:rPr>
          <w:rFonts w:hint="eastAsia"/>
        </w:rPr>
        <w:t>改正，或者造成医疗保障基金损失金额100万元以上且拒不改正的，责令定点医药机构暂停相关责任部门10个月以上、1年以下涉及医疗保障基金使用的医药服务。</w:t>
      </w:r>
    </w:p>
    <w:p w14:paraId="7A6361EB" w14:textId="4A55A80F" w:rsidR="005A72BC" w:rsidRPr="00783003" w:rsidRDefault="00000000">
      <w:pPr>
        <w:pStyle w:val="a3"/>
        <w:kinsoku w:val="0"/>
        <w:overflowPunct w:val="0"/>
        <w:spacing w:before="0" w:line="326" w:lineRule="auto"/>
        <w:ind w:right="73" w:firstLine="640"/>
        <w:rPr>
          <w:rFonts w:ascii="黑体" w:eastAsia="黑体" w:hAnsi="黑体" w:hint="eastAsia"/>
        </w:rPr>
      </w:pPr>
      <w:r w:rsidRPr="00783003">
        <w:rPr>
          <w:rFonts w:ascii="黑体" w:eastAsia="黑体" w:hAnsi="黑体" w:hint="eastAsia"/>
        </w:rPr>
        <w:t>二、</w:t>
      </w:r>
      <w:r w:rsidR="00C13C79" w:rsidRPr="00783003">
        <w:rPr>
          <w:rFonts w:ascii="黑体" w:eastAsia="黑体" w:hAnsi="黑体" w:hint="eastAsia"/>
        </w:rPr>
        <w:t>个人违法使用医疗保障基金造成基金损失行为</w:t>
      </w:r>
      <w:r w:rsidRPr="00783003">
        <w:rPr>
          <w:rFonts w:ascii="黑体" w:eastAsia="黑体" w:hAnsi="黑体" w:hint="eastAsia"/>
        </w:rPr>
        <w:t>的行政处罚</w:t>
      </w:r>
    </w:p>
    <w:p w14:paraId="12A8002C" w14:textId="7DE60A0F" w:rsidR="00C13C79" w:rsidRDefault="00C13C79">
      <w:pPr>
        <w:pStyle w:val="a3"/>
        <w:kinsoku w:val="0"/>
        <w:overflowPunct w:val="0"/>
        <w:spacing w:before="0" w:line="326" w:lineRule="auto"/>
        <w:ind w:right="73" w:firstLine="640"/>
        <w:rPr>
          <w:rFonts w:hint="eastAsia"/>
          <w:spacing w:val="-14"/>
        </w:rPr>
      </w:pPr>
      <w:r w:rsidRPr="00783003">
        <w:rPr>
          <w:rFonts w:hint="eastAsia"/>
          <w:spacing w:val="-14"/>
        </w:rPr>
        <w:t>处罚依据：</w:t>
      </w:r>
      <w:r w:rsidR="00783003" w:rsidRPr="00783003">
        <w:rPr>
          <w:rFonts w:hint="eastAsia"/>
          <w:spacing w:val="-14"/>
        </w:rPr>
        <w:t>《山东省医疗保障行政处罚（处理）裁量基准》第</w:t>
      </w:r>
      <w:r w:rsidR="00783003" w:rsidRPr="00783003">
        <w:rPr>
          <w:rFonts w:hint="eastAsia"/>
          <w:spacing w:val="-14"/>
        </w:rPr>
        <w:t>五</w:t>
      </w:r>
      <w:r w:rsidR="00783003" w:rsidRPr="00783003">
        <w:rPr>
          <w:rFonts w:hint="eastAsia"/>
          <w:spacing w:val="-14"/>
        </w:rPr>
        <w:t>条裁量基准：</w:t>
      </w:r>
    </w:p>
    <w:p w14:paraId="76A50667" w14:textId="0478F1D1" w:rsidR="00C13C79" w:rsidRDefault="00C13C79">
      <w:pPr>
        <w:pStyle w:val="a3"/>
        <w:kinsoku w:val="0"/>
        <w:overflowPunct w:val="0"/>
        <w:spacing w:before="0" w:line="326" w:lineRule="auto"/>
        <w:ind w:right="73" w:firstLine="640"/>
        <w:rPr>
          <w:rFonts w:hint="eastAsia"/>
          <w:spacing w:val="-14"/>
        </w:rPr>
      </w:pPr>
      <w:r>
        <w:rPr>
          <w:rFonts w:hint="eastAsia"/>
        </w:rPr>
        <w:t>（一）</w:t>
      </w:r>
      <w:r w:rsidRPr="00067059">
        <w:rPr>
          <w:rFonts w:hint="eastAsia"/>
        </w:rPr>
        <w:t>不予行政处理</w:t>
      </w:r>
      <w:r>
        <w:rPr>
          <w:rFonts w:hint="eastAsia"/>
        </w:rPr>
        <w:t>：</w:t>
      </w:r>
      <w:r w:rsidRPr="00067059">
        <w:rPr>
          <w:rFonts w:hint="eastAsia"/>
        </w:rPr>
        <w:t>符合《山东省医疗保障行政处罚裁量权适用规则》第八条、第九条规定的情形之一的不予暂停其医疗费用联网结算</w:t>
      </w:r>
      <w:r>
        <w:rPr>
          <w:rFonts w:hint="eastAsia"/>
        </w:rPr>
        <w:t>；</w:t>
      </w:r>
    </w:p>
    <w:p w14:paraId="2112CF9E" w14:textId="47794771" w:rsidR="00C13C79" w:rsidRDefault="00C13C79">
      <w:pPr>
        <w:pStyle w:val="a3"/>
        <w:kinsoku w:val="0"/>
        <w:overflowPunct w:val="0"/>
        <w:spacing w:before="0" w:line="326" w:lineRule="auto"/>
        <w:ind w:right="73" w:firstLine="640"/>
        <w:rPr>
          <w:rFonts w:hint="eastAsia"/>
          <w:spacing w:val="-14"/>
        </w:rPr>
      </w:pPr>
      <w:r>
        <w:rPr>
          <w:rFonts w:hint="eastAsia"/>
        </w:rPr>
        <w:t>（二）可以不予行政处理：</w:t>
      </w:r>
      <w:r w:rsidRPr="00067059">
        <w:rPr>
          <w:rFonts w:hint="eastAsia"/>
        </w:rPr>
        <w:t>存在《医疗保障基金使用监督管理条例》第四十一条第一款规定行为，初次违法且造成医疗保障基金损失1000元以下并及时改正的可以不予暂停其医疗费用联网结算</w:t>
      </w:r>
      <w:r>
        <w:rPr>
          <w:rFonts w:hint="eastAsia"/>
        </w:rPr>
        <w:t>；</w:t>
      </w:r>
    </w:p>
    <w:p w14:paraId="2D16BDB1" w14:textId="61DA0A64" w:rsidR="00C13C79" w:rsidRDefault="00C13C79">
      <w:pPr>
        <w:pStyle w:val="a3"/>
        <w:kinsoku w:val="0"/>
        <w:overflowPunct w:val="0"/>
        <w:spacing w:before="0" w:line="326" w:lineRule="auto"/>
        <w:ind w:right="73" w:firstLine="640"/>
        <w:rPr>
          <w:rFonts w:hint="eastAsia"/>
          <w:spacing w:val="-14"/>
        </w:rPr>
      </w:pPr>
      <w:r>
        <w:rPr>
          <w:rFonts w:hint="eastAsia"/>
        </w:rPr>
        <w:t>（三）</w:t>
      </w:r>
      <w:r w:rsidRPr="00067059">
        <w:rPr>
          <w:rFonts w:hint="eastAsia"/>
        </w:rPr>
        <w:t>从轻行政处理</w:t>
      </w:r>
      <w:r>
        <w:rPr>
          <w:rFonts w:hint="eastAsia"/>
        </w:rPr>
        <w:t>：</w:t>
      </w:r>
      <w:r w:rsidRPr="00067059">
        <w:rPr>
          <w:rFonts w:hint="eastAsia"/>
        </w:rPr>
        <w:t>存在《医疗保障基金使用监督管理条例》第四十一条第一款规定行为，造成医疗保障基金损失不满10万元的暂停其医疗费用联网结算3个月以上、不满6个月</w:t>
      </w:r>
      <w:r>
        <w:rPr>
          <w:rFonts w:hint="eastAsia"/>
        </w:rPr>
        <w:t>；</w:t>
      </w:r>
    </w:p>
    <w:p w14:paraId="7F159485" w14:textId="5519C2A2" w:rsidR="00C13C79" w:rsidRDefault="00C13C79">
      <w:pPr>
        <w:pStyle w:val="a3"/>
        <w:kinsoku w:val="0"/>
        <w:overflowPunct w:val="0"/>
        <w:spacing w:before="0" w:line="326" w:lineRule="auto"/>
        <w:ind w:right="73" w:firstLine="640"/>
        <w:rPr>
          <w:rFonts w:hint="eastAsia"/>
          <w:spacing w:val="-14"/>
        </w:rPr>
      </w:pPr>
      <w:r>
        <w:rPr>
          <w:rFonts w:hint="eastAsia"/>
        </w:rPr>
        <w:t>（四</w:t>
      </w:r>
      <w:r>
        <w:rPr>
          <w:rFonts w:hint="eastAsia"/>
          <w:spacing w:val="-3"/>
        </w:rPr>
        <w:t>）</w:t>
      </w:r>
      <w:r w:rsidRPr="00067059">
        <w:rPr>
          <w:rFonts w:hint="eastAsia"/>
          <w:spacing w:val="-3"/>
        </w:rPr>
        <w:t>一般行政处理</w:t>
      </w:r>
      <w:r>
        <w:rPr>
          <w:rFonts w:hint="eastAsia"/>
          <w:spacing w:val="-3"/>
        </w:rPr>
        <w:t>：</w:t>
      </w:r>
      <w:r w:rsidRPr="00067059">
        <w:rPr>
          <w:rFonts w:hint="eastAsia"/>
          <w:spacing w:val="-3"/>
        </w:rPr>
        <w:t>存在《医疗保障基金使用监督管理条例》第四十一条第一款规定行为，造成医疗保障基金损</w:t>
      </w:r>
      <w:r w:rsidRPr="00067059">
        <w:rPr>
          <w:rFonts w:hint="eastAsia"/>
          <w:spacing w:val="-3"/>
        </w:rPr>
        <w:lastRenderedPageBreak/>
        <w:t>失10万元以上、不满20万元的暂停其医疗费用联网结算6个月以上、不满9个月以下</w:t>
      </w:r>
      <w:r>
        <w:rPr>
          <w:rFonts w:hint="eastAsia"/>
          <w:spacing w:val="-3"/>
        </w:rPr>
        <w:t>；</w:t>
      </w:r>
    </w:p>
    <w:p w14:paraId="7C78006F" w14:textId="2E7945FA" w:rsidR="00C13C79" w:rsidRDefault="00C13C79">
      <w:pPr>
        <w:pStyle w:val="a3"/>
        <w:kinsoku w:val="0"/>
        <w:overflowPunct w:val="0"/>
        <w:spacing w:before="0" w:line="326" w:lineRule="auto"/>
        <w:ind w:right="73" w:firstLine="640"/>
        <w:rPr>
          <w:rFonts w:hint="eastAsia"/>
          <w:spacing w:val="-14"/>
        </w:rPr>
      </w:pPr>
      <w:r>
        <w:rPr>
          <w:rFonts w:hint="eastAsia"/>
          <w:spacing w:val="-3"/>
        </w:rPr>
        <w:t>（五）</w:t>
      </w:r>
      <w:r w:rsidRPr="00067059">
        <w:rPr>
          <w:rFonts w:hint="eastAsia"/>
          <w:spacing w:val="-3"/>
        </w:rPr>
        <w:t>从重行政处理</w:t>
      </w:r>
      <w:r>
        <w:rPr>
          <w:rFonts w:hint="eastAsia"/>
          <w:spacing w:val="-3"/>
        </w:rPr>
        <w:t>：</w:t>
      </w:r>
      <w:r w:rsidRPr="00067059">
        <w:rPr>
          <w:rFonts w:hint="eastAsia"/>
          <w:spacing w:val="-3"/>
        </w:rPr>
        <w:t>存在《医疗保障基金使用监督管理条例》第四十一条第一款规定行为，造成医疗保障基金损失20万元以上的暂停其医疗费用联网结算9个月以上、12个月以下</w:t>
      </w:r>
      <w:r w:rsidR="005C5EB9">
        <w:rPr>
          <w:rFonts w:hint="eastAsia"/>
          <w:spacing w:val="-3"/>
        </w:rPr>
        <w:t>。</w:t>
      </w:r>
    </w:p>
    <w:p w14:paraId="67462C02" w14:textId="631B289A" w:rsidR="00C2695C" w:rsidRDefault="00C2695C">
      <w:pPr>
        <w:pStyle w:val="a3"/>
        <w:kinsoku w:val="0"/>
        <w:overflowPunct w:val="0"/>
        <w:spacing w:line="326" w:lineRule="auto"/>
        <w:ind w:right="75" w:firstLine="640"/>
        <w:rPr>
          <w:rFonts w:hint="eastAsia"/>
        </w:rPr>
      </w:pPr>
    </w:p>
    <w:sectPr w:rsidR="00C2695C" w:rsidSect="00067059">
      <w:type w:val="continuous"/>
      <w:pgSz w:w="11910" w:h="16840"/>
      <w:pgMar w:top="152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987D0" w14:textId="77777777" w:rsidR="00C66E6D" w:rsidRDefault="00C66E6D">
      <w:pPr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separator/>
      </w:r>
    </w:p>
  </w:endnote>
  <w:endnote w:type="continuationSeparator" w:id="0">
    <w:p w14:paraId="7A688742" w14:textId="77777777" w:rsidR="00C66E6D" w:rsidRDefault="00C66E6D">
      <w:pPr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D4C71" w14:textId="77777777" w:rsidR="00C66E6D" w:rsidRDefault="00C66E6D">
      <w:pPr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separator/>
      </w:r>
    </w:p>
  </w:footnote>
  <w:footnote w:type="continuationSeparator" w:id="0">
    <w:p w14:paraId="21248121" w14:textId="77777777" w:rsidR="00C66E6D" w:rsidRDefault="00C66E6D">
      <w:pPr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D6C51"/>
    <w:multiLevelType w:val="hybridMultilevel"/>
    <w:tmpl w:val="F6468DC4"/>
    <w:lvl w:ilvl="0" w:tplc="5F500A78">
      <w:start w:val="1"/>
      <w:numFmt w:val="japaneseCounting"/>
      <w:lvlText w:val="（%1）"/>
      <w:lvlJc w:val="left"/>
      <w:pPr>
        <w:ind w:left="18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40"/>
      </w:pPr>
    </w:lvl>
    <w:lvl w:ilvl="2" w:tplc="0409001B" w:tentative="1">
      <w:start w:val="1"/>
      <w:numFmt w:val="lowerRoman"/>
      <w:lvlText w:val="%3."/>
      <w:lvlJc w:val="right"/>
      <w:pPr>
        <w:ind w:left="2080" w:hanging="440"/>
      </w:pPr>
    </w:lvl>
    <w:lvl w:ilvl="3" w:tplc="0409000F" w:tentative="1">
      <w:start w:val="1"/>
      <w:numFmt w:val="decimal"/>
      <w:lvlText w:val="%4."/>
      <w:lvlJc w:val="left"/>
      <w:pPr>
        <w:ind w:left="2520" w:hanging="440"/>
      </w:pPr>
    </w:lvl>
    <w:lvl w:ilvl="4" w:tplc="04090019" w:tentative="1">
      <w:start w:val="1"/>
      <w:numFmt w:val="lowerLetter"/>
      <w:lvlText w:val="%5)"/>
      <w:lvlJc w:val="left"/>
      <w:pPr>
        <w:ind w:left="2960" w:hanging="440"/>
      </w:pPr>
    </w:lvl>
    <w:lvl w:ilvl="5" w:tplc="0409001B" w:tentative="1">
      <w:start w:val="1"/>
      <w:numFmt w:val="lowerRoman"/>
      <w:lvlText w:val="%6."/>
      <w:lvlJc w:val="right"/>
      <w:pPr>
        <w:ind w:left="3400" w:hanging="440"/>
      </w:pPr>
    </w:lvl>
    <w:lvl w:ilvl="6" w:tplc="0409000F" w:tentative="1">
      <w:start w:val="1"/>
      <w:numFmt w:val="decimal"/>
      <w:lvlText w:val="%7."/>
      <w:lvlJc w:val="left"/>
      <w:pPr>
        <w:ind w:left="3840" w:hanging="440"/>
      </w:pPr>
    </w:lvl>
    <w:lvl w:ilvl="7" w:tplc="04090019" w:tentative="1">
      <w:start w:val="1"/>
      <w:numFmt w:val="lowerLetter"/>
      <w:lvlText w:val="%8)"/>
      <w:lvlJc w:val="left"/>
      <w:pPr>
        <w:ind w:left="4280" w:hanging="440"/>
      </w:pPr>
    </w:lvl>
    <w:lvl w:ilvl="8" w:tplc="0409001B" w:tentative="1">
      <w:start w:val="1"/>
      <w:numFmt w:val="lowerRoman"/>
      <w:lvlText w:val="%9."/>
      <w:lvlJc w:val="right"/>
      <w:pPr>
        <w:ind w:left="4720" w:hanging="440"/>
      </w:pPr>
    </w:lvl>
  </w:abstractNum>
  <w:num w:numId="1" w16cid:durableId="1296251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I3YjhhODc4NDI3ZWI1OGI2MDQ0MDY5NDUzMTBhMDcifQ=="/>
  </w:docVars>
  <w:rsids>
    <w:rsidRoot w:val="00067059"/>
    <w:rsid w:val="00067059"/>
    <w:rsid w:val="00444506"/>
    <w:rsid w:val="005A72BC"/>
    <w:rsid w:val="005C5EB9"/>
    <w:rsid w:val="00783003"/>
    <w:rsid w:val="00C13C79"/>
    <w:rsid w:val="00C2695C"/>
    <w:rsid w:val="00C66E6D"/>
    <w:rsid w:val="00CA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91EAE4"/>
  <w14:defaultImageDpi w14:val="0"/>
  <w15:docId w15:val="{6A17E2A8-634E-40B4-8797-6BD824C6F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仿宋_GB2312" w:eastAsia="仿宋_GB2312" w:hAnsi="仿宋_GB2312" w:cs="Times New Roman"/>
      <w:kern w:val="0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pPr>
      <w:spacing w:before="149"/>
      <w:ind w:left="120"/>
    </w:pPr>
    <w:rPr>
      <w:sz w:val="32"/>
      <w:szCs w:val="24"/>
    </w:rPr>
  </w:style>
  <w:style w:type="character" w:customStyle="1" w:styleId="a4">
    <w:name w:val="正文文本 字符"/>
    <w:basedOn w:val="a0"/>
    <w:link w:val="a3"/>
    <w:uiPriority w:val="99"/>
    <w:semiHidden/>
    <w:rPr>
      <w:rFonts w:ascii="仿宋_GB2312" w:eastAsia="仿宋_GB2312" w:hAnsi="仿宋_GB2312" w:cs="Times New Roman"/>
      <w:kern w:val="0"/>
      <w:szCs w:val="22"/>
    </w:rPr>
  </w:style>
  <w:style w:type="paragraph" w:styleId="a5">
    <w:name w:val="Title"/>
    <w:basedOn w:val="a"/>
    <w:link w:val="a6"/>
    <w:uiPriority w:val="1"/>
    <w:qFormat/>
    <w:pPr>
      <w:spacing w:line="848" w:lineRule="exact"/>
      <w:ind w:left="120"/>
    </w:pPr>
    <w:rPr>
      <w:rFonts w:ascii="方正小标宋简体" w:eastAsia="方正小标宋简体" w:hAnsi="方正小标宋简体"/>
      <w:b/>
      <w:sz w:val="52"/>
      <w:szCs w:val="24"/>
    </w:rPr>
  </w:style>
  <w:style w:type="character" w:customStyle="1" w:styleId="a6">
    <w:name w:val="标题 字符"/>
    <w:basedOn w:val="a0"/>
    <w:link w:val="a5"/>
    <w:uiPriority w:val="10"/>
    <w:rPr>
      <w:rFonts w:asciiTheme="majorHAnsi" w:hAnsiTheme="majorHAnsi" w:cstheme="majorBidi"/>
      <w:b/>
      <w:bCs/>
      <w:kern w:val="0"/>
      <w:sz w:val="32"/>
      <w:szCs w:val="32"/>
    </w:rPr>
  </w:style>
  <w:style w:type="paragraph" w:customStyle="1" w:styleId="TableParagraph">
    <w:name w:val="Table Paragraph"/>
    <w:basedOn w:val="a"/>
    <w:uiPriority w:val="1"/>
    <w:unhideWhenUsed/>
    <w:qFormat/>
    <w:rPr>
      <w:sz w:val="24"/>
      <w:szCs w:val="24"/>
    </w:rPr>
  </w:style>
  <w:style w:type="paragraph" w:styleId="a7">
    <w:name w:val="List Paragraph"/>
    <w:basedOn w:val="a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617</Words>
  <Characters>637</Characters>
  <Application>Microsoft Office Word</Application>
  <DocSecurity>0</DocSecurity>
  <Lines>30</Lines>
  <Paragraphs>15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增强 曹</cp:lastModifiedBy>
  <cp:revision>3</cp:revision>
  <dcterms:created xsi:type="dcterms:W3CDTF">2025-08-28T06:49:00Z</dcterms:created>
  <dcterms:modified xsi:type="dcterms:W3CDTF">2025-08-28T06:51:00Z</dcterms:modified>
</cp:coreProperties>
</file>