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eastAsia="方正小标宋简体" w:cs="仿宋_GB2312"/>
          <w:sz w:val="44"/>
          <w:szCs w:val="44"/>
        </w:rPr>
      </w:pPr>
      <w:r>
        <w:rPr>
          <w:rFonts w:hint="eastAsia" w:ascii="方正小标宋简体" w:eastAsia="方正小标宋简体" w:cs="仿宋_GB2312"/>
          <w:sz w:val="44"/>
          <w:szCs w:val="44"/>
        </w:rPr>
        <w:t>招远市烟草制品零售点布局规定（草案）</w:t>
      </w:r>
    </w:p>
    <w:p>
      <w:pPr>
        <w:adjustRightInd w:val="0"/>
        <w:snapToGrid w:val="0"/>
        <w:spacing w:line="360" w:lineRule="auto"/>
        <w:jc w:val="center"/>
        <w:rPr>
          <w:rFonts w:ascii="方正小标宋简体" w:eastAsia="方正小标宋简体" w:cs="仿宋_GB2312"/>
          <w:sz w:val="44"/>
          <w:szCs w:val="44"/>
        </w:rPr>
      </w:pPr>
    </w:p>
    <w:p>
      <w:pPr>
        <w:adjustRightInd w:val="0"/>
        <w:snapToGrid w:val="0"/>
        <w:spacing w:line="360" w:lineRule="auto"/>
        <w:ind w:firstLine="640" w:firstLineChars="200"/>
        <w:rPr>
          <w:rFonts w:ascii="仿宋_GB2312" w:hAnsi="仿宋" w:eastAsia="仿宋_GB2312" w:cs="仿宋_GB2312"/>
          <w:sz w:val="32"/>
          <w:szCs w:val="32"/>
        </w:rPr>
      </w:pPr>
      <w:r>
        <w:rPr>
          <w:rFonts w:hint="eastAsia" w:ascii="黑体" w:hAnsi="黑体" w:eastAsia="黑体" w:cs="黑体"/>
          <w:sz w:val="32"/>
          <w:szCs w:val="32"/>
        </w:rPr>
        <w:t xml:space="preserve">第一条 </w:t>
      </w:r>
      <w:r>
        <w:rPr>
          <w:rFonts w:hint="eastAsia" w:ascii="仿宋_GB2312" w:hAnsi="黑体" w:eastAsia="仿宋_GB2312" w:cs="黑体"/>
          <w:sz w:val="32"/>
          <w:szCs w:val="32"/>
        </w:rPr>
        <w:t xml:space="preserve"> </w:t>
      </w:r>
      <w:r>
        <w:rPr>
          <w:rFonts w:hint="eastAsia" w:ascii="仿宋_GB2312" w:hAnsi="仿宋" w:eastAsia="仿宋_GB2312" w:cs="仿宋_GB2312"/>
          <w:sz w:val="32"/>
          <w:szCs w:val="32"/>
        </w:rPr>
        <w:t>为维护国家利益和消费者利益，规范烟草制品零售市场经营秩序，进一步优化烟草制品零售点布局，加强烟草专卖零售许可证管理，依据《中华人民共和国烟草专卖法》《中华人民共和国行政许可法》《中华人民共和国未成年人保护法》《中华人民共和国烟草专卖法实施条例》《烟草专卖许可证管理办法》（工信部37号令）、《烟草专卖许可证管理办法实施细则》（国烟法〔2020〕205号）、《山东省烟草专卖局关于印发&lt;**区（市、县）烟草制品零售点布局规定（模板）&gt;和&lt;山东省烟草专卖局县级局烟草制品零售点布局规定编制操作手册&gt;等文件的通知》（鲁烟专〔2023〕 17号）等法律法规、规章和规范性文件，结合本市实际，制定本规定。</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本规定所称烟草制品零售点（以下称零售点）是指依法取得烟草专卖零售许可证的公民、法人及其他组织从事烟草制品零售业务的与住所相独立的固定经营场所。</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零售点经营场所地址应当具体明确，具有唯一性，应有指向明确并唯一的门牌、地址或方位表述且与营业执照登记地址相符。</w:t>
      </w:r>
    </w:p>
    <w:p>
      <w:pPr>
        <w:adjustRightInd w:val="0"/>
        <w:snapToGrid w:val="0"/>
        <w:spacing w:line="360" w:lineRule="auto"/>
        <w:ind w:firstLine="640" w:firstLineChars="200"/>
        <w:rPr>
          <w:rFonts w:ascii="仿宋_GB2312" w:hAnsi="黑体" w:eastAsia="仿宋_GB2312" w:cs="黑体"/>
          <w:b/>
          <w:sz w:val="32"/>
          <w:szCs w:val="32"/>
        </w:rPr>
      </w:pPr>
      <w:r>
        <w:rPr>
          <w:rFonts w:hint="eastAsia" w:ascii="仿宋_GB2312" w:hAnsi="黑体" w:eastAsia="仿宋_GB2312" w:cs="黑体"/>
          <w:sz w:val="32"/>
          <w:szCs w:val="32"/>
        </w:rPr>
        <w:t>娱乐服务类零售点（含住宿及餐饮酒店、台球厅、KTV、茶室茶庄、推拿按摩、洗浴足疗、美甲美容等）应当建有独立吸烟室。吸</w:t>
      </w:r>
      <w:r>
        <w:rPr>
          <w:rFonts w:ascii="仿宋_GB2312" w:hAnsi="黑体" w:eastAsia="仿宋_GB2312" w:cs="黑体"/>
          <w:sz w:val="32"/>
          <w:szCs w:val="32"/>
        </w:rPr>
        <w:t>烟室应</w:t>
      </w:r>
      <w:r>
        <w:rPr>
          <w:rFonts w:hint="eastAsia" w:ascii="仿宋_GB2312" w:hAnsi="黑体" w:eastAsia="仿宋_GB2312" w:cs="黑体"/>
          <w:sz w:val="32"/>
          <w:szCs w:val="32"/>
        </w:rPr>
        <w:t>符</w:t>
      </w:r>
      <w:r>
        <w:rPr>
          <w:rFonts w:ascii="仿宋_GB2312" w:hAnsi="黑体" w:eastAsia="仿宋_GB2312" w:cs="黑体"/>
          <w:sz w:val="32"/>
          <w:szCs w:val="32"/>
        </w:rPr>
        <w:t>合消防安全要求，具备将烟雾与禁止吸烟</w:t>
      </w:r>
      <w:r>
        <w:rPr>
          <w:rFonts w:hint="eastAsia" w:ascii="仿宋_GB2312" w:hAnsi="黑体" w:eastAsia="仿宋_GB2312" w:cs="黑体"/>
          <w:sz w:val="32"/>
          <w:szCs w:val="32"/>
        </w:rPr>
        <w:t>区域</w:t>
      </w:r>
      <w:r>
        <w:rPr>
          <w:rFonts w:ascii="仿宋_GB2312" w:hAnsi="黑体" w:eastAsia="仿宋_GB2312" w:cs="黑体"/>
          <w:sz w:val="32"/>
          <w:szCs w:val="32"/>
        </w:rPr>
        <w:t>有效隔离的条件或者良好的通风换气条件，避开人群密集区域和行人必经主要通道，设置明显的吸烟室标识和指</w:t>
      </w:r>
      <w:r>
        <w:rPr>
          <w:rFonts w:hint="eastAsia" w:ascii="仿宋_GB2312" w:hAnsi="黑体" w:eastAsia="仿宋_GB2312" w:cs="黑体"/>
          <w:sz w:val="32"/>
          <w:szCs w:val="32"/>
        </w:rPr>
        <w:t>引</w:t>
      </w:r>
      <w:r>
        <w:rPr>
          <w:rFonts w:ascii="仿宋_GB2312" w:hAnsi="黑体" w:eastAsia="仿宋_GB2312" w:cs="黑体"/>
          <w:sz w:val="32"/>
          <w:szCs w:val="32"/>
        </w:rPr>
        <w:t>标识</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第三条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本规定适用于招远市烟草专卖局管辖区域内烟草制品（不含电子烟）零售点的布局管理。</w:t>
      </w:r>
    </w:p>
    <w:p>
      <w:pPr>
        <w:adjustRightInd w:val="0"/>
        <w:snapToGrid w:val="0"/>
        <w:spacing w:line="360" w:lineRule="auto"/>
        <w:ind w:firstLine="640" w:firstLineChars="200"/>
        <w:rPr>
          <w:rFonts w:ascii="楷体_GB2312" w:eastAsia="楷体_GB2312" w:cs="楷体_GB2312"/>
          <w:bCs/>
          <w:sz w:val="30"/>
          <w:szCs w:val="30"/>
        </w:rPr>
      </w:pPr>
      <w:r>
        <w:rPr>
          <w:rFonts w:hint="eastAsia" w:ascii="黑体" w:hAnsi="黑体" w:eastAsia="黑体" w:cs="仿宋_GB2312"/>
          <w:sz w:val="32"/>
          <w:szCs w:val="32"/>
        </w:rPr>
        <w:t>第四条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零售点布局管理遵循依法行政、科学规划、服务社会、均衡发展、未成年人保护、控烟履约、信赖保护的原则。</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第五条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一个经营场所已经办理了烟草专卖零售许可证的，在许可证有效期内不再审批发放其他烟草专卖零售许可证。</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连锁经营企业在申请烟草专卖零售许可证时，应当由各个分店分别提出申请。</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第六条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零售点布局管理以较为稳定、相对独立的区域作为市场单元，量化分析市场单元内经济发展水平、人口数量、消费能力、历史零售点数量、烟草制品经营数据等相关性指标，合理设定零售点规划数量（详见附件1）。</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第七条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烟草专卖局应当在市场单元规划数量内审批零售点。</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市场单元内零售点数量已经达到或超过规划上限的，申请人申办烟草专卖零售许可证时可以申请轮候排序。</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第八条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烟草专卖局应当按照轮候顺序通知申请人提交申请材料，并在市场单元规划数量内根据“退一进一”的原则办理。按照预留联系方式无法联系到申请人的，视为放弃本次申请。</w:t>
      </w:r>
    </w:p>
    <w:p>
      <w:pPr>
        <w:spacing w:line="360" w:lineRule="auto"/>
        <w:ind w:firstLine="640" w:firstLineChars="200"/>
        <w:rPr>
          <w:rFonts w:ascii="仿宋_GB2312" w:hAnsi="黑体" w:eastAsia="仿宋_GB2312" w:cs="黑体"/>
          <w:color w:val="0070C0"/>
          <w:sz w:val="32"/>
          <w:szCs w:val="32"/>
        </w:rPr>
      </w:pPr>
      <w:r>
        <w:rPr>
          <w:rFonts w:hint="eastAsia" w:ascii="仿宋_GB2312" w:hAnsi="黑体" w:eastAsia="仿宋_GB2312" w:cs="黑体"/>
          <w:sz w:val="32"/>
          <w:szCs w:val="32"/>
        </w:rPr>
        <w:t>放弃本次申请或经核查不符合办证条件的，按照轮候顺序通知下一个轮候申请人提交申请材料。</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轮候申请人与实际申请人应当一致，轮候顺序不得调换或转让。</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第九条  </w:t>
      </w:r>
      <w:r>
        <w:rPr>
          <w:rFonts w:hint="eastAsia" w:ascii="仿宋_GB2312" w:hAnsi="黑体" w:eastAsia="仿宋_GB2312" w:cs="黑体"/>
          <w:sz w:val="32"/>
          <w:szCs w:val="32"/>
        </w:rPr>
        <w:t>对市场单元零售点综合运用总量调控、间距控制、人口测控、峰值控制、限制准入等布局模式。</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第十条  </w:t>
      </w:r>
      <w:r>
        <w:rPr>
          <w:rFonts w:hint="eastAsia" w:ascii="仿宋_GB2312" w:hAnsi="黑体" w:eastAsia="仿宋_GB2312" w:cs="黑体"/>
          <w:sz w:val="32"/>
          <w:szCs w:val="32"/>
        </w:rPr>
        <w:t>人口数量、城市规划、乡村建设等出现较大变化时，应当对相关市场单元零售点数量予以应急性增设或保护性冻结。</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（一）有下列情形之一的，所属市场单元可进行应急性增设：</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w:t>
      </w:r>
      <w:r>
        <w:rPr>
          <w:rFonts w:hint="eastAsia" w:ascii="仿宋_GB2312" w:hAnsi="黑体" w:eastAsia="仿宋_GB2312" w:cs="黑体"/>
          <w:sz w:val="32"/>
          <w:szCs w:val="32"/>
        </w:rPr>
        <w:t>市场单元内受县级以上政策法规影响、重点扶持项目或社会发展需要新设卷烟零售点的；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w:t>
      </w:r>
      <w:r>
        <w:rPr>
          <w:rFonts w:ascii="仿宋_GB2312" w:hAnsi="黑体" w:eastAsia="仿宋_GB2312" w:cs="黑体"/>
          <w:sz w:val="32"/>
          <w:szCs w:val="32"/>
        </w:rPr>
        <w:t>.</w:t>
      </w:r>
      <w:r>
        <w:rPr>
          <w:rFonts w:hint="eastAsia" w:ascii="仿宋_GB2312" w:hAnsi="黑体" w:eastAsia="仿宋_GB2312" w:cs="黑体"/>
          <w:sz w:val="32"/>
          <w:szCs w:val="32"/>
        </w:rPr>
        <w:t>市场单元内卷烟零售户毛利、销量在一定时间段内连续高于同类市场单元均值达到一定条件的；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w:t>
      </w:r>
      <w:r>
        <w:rPr>
          <w:rFonts w:ascii="仿宋_GB2312" w:hAnsi="黑体" w:eastAsia="仿宋_GB2312" w:cs="黑体"/>
          <w:sz w:val="32"/>
          <w:szCs w:val="32"/>
        </w:rPr>
        <w:t>.</w:t>
      </w:r>
      <w:r>
        <w:rPr>
          <w:rFonts w:hint="eastAsia" w:ascii="仿宋_GB2312" w:hAnsi="黑体" w:eastAsia="仿宋_GB2312" w:cs="黑体"/>
          <w:sz w:val="32"/>
          <w:szCs w:val="32"/>
        </w:rPr>
        <w:t>由于市场单元内新建居民小区、工厂等因素导致市场单元人口增长超过上年末户均服务人口标准一定比例的。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（二）有下列情形之一的，所属市场单元可进行保护性冻结：</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w:t>
      </w:r>
      <w:r>
        <w:rPr>
          <w:rFonts w:hint="eastAsia" w:ascii="仿宋_GB2312" w:hAnsi="黑体" w:eastAsia="仿宋_GB2312" w:cs="黑体"/>
          <w:sz w:val="32"/>
          <w:szCs w:val="32"/>
        </w:rPr>
        <w:t>市场单元内卷烟零售户毛利、销量在一定时间段内连续低于同类市场单元均值达到一定条件的；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w:t>
      </w:r>
      <w:r>
        <w:rPr>
          <w:rFonts w:ascii="仿宋_GB2312" w:hAnsi="黑体" w:eastAsia="仿宋_GB2312" w:cs="黑体"/>
          <w:sz w:val="32"/>
          <w:szCs w:val="32"/>
        </w:rPr>
        <w:t>.</w:t>
      </w:r>
      <w:r>
        <w:rPr>
          <w:rFonts w:hint="eastAsia" w:ascii="仿宋_GB2312" w:hAnsi="黑体" w:eastAsia="仿宋_GB2312" w:cs="黑体"/>
          <w:sz w:val="32"/>
          <w:szCs w:val="32"/>
        </w:rPr>
        <w:t>由于市场单元内拆迁、改建、工厂搬迁等因素导致市场单元人口总数下降幅度达到一定比例的。</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第十一条  </w:t>
      </w:r>
      <w:r>
        <w:rPr>
          <w:rFonts w:hint="eastAsia" w:ascii="仿宋_GB2312" w:hAnsi="黑体" w:eastAsia="仿宋_GB2312" w:cs="黑体"/>
          <w:sz w:val="32"/>
          <w:szCs w:val="32"/>
        </w:rPr>
        <w:t>零售点间距根据辖区面积、规划零售点数量、零售点覆盖范围、经济繁荣程度、市场状态等因素综合测定为80米。</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第十二条  </w:t>
      </w:r>
      <w:r>
        <w:rPr>
          <w:rFonts w:ascii="仿宋_GB2312" w:hAnsi="黑体" w:eastAsia="仿宋_GB2312" w:cs="黑体"/>
          <w:sz w:val="32"/>
          <w:szCs w:val="32"/>
        </w:rPr>
        <w:t>残疾人</w:t>
      </w:r>
      <w:r>
        <w:rPr>
          <w:rFonts w:hint="eastAsia" w:ascii="仿宋_GB2312" w:hAnsi="黑体" w:eastAsia="仿宋_GB2312" w:cs="黑体"/>
          <w:sz w:val="32"/>
          <w:szCs w:val="32"/>
        </w:rPr>
        <w:t>、</w:t>
      </w:r>
      <w:r>
        <w:rPr>
          <w:rFonts w:ascii="仿宋_GB2312" w:hAnsi="黑体" w:eastAsia="仿宋_GB2312" w:cs="黑体"/>
          <w:sz w:val="32"/>
          <w:szCs w:val="32"/>
        </w:rPr>
        <w:t>军烈属</w:t>
      </w:r>
      <w:r>
        <w:rPr>
          <w:rFonts w:hint="eastAsia" w:ascii="仿宋_GB2312" w:hAnsi="黑体" w:eastAsia="仿宋_GB2312" w:cs="黑体"/>
          <w:sz w:val="32"/>
          <w:szCs w:val="32"/>
        </w:rPr>
        <w:t>、</w:t>
      </w:r>
      <w:r>
        <w:rPr>
          <w:rFonts w:ascii="仿宋_GB2312" w:hAnsi="黑体" w:eastAsia="仿宋_GB2312" w:cs="黑体"/>
          <w:sz w:val="32"/>
          <w:szCs w:val="32"/>
        </w:rPr>
        <w:t>退役军人</w:t>
      </w:r>
      <w:r>
        <w:rPr>
          <w:rFonts w:hint="eastAsia" w:ascii="仿宋_GB2312" w:hAnsi="黑体" w:eastAsia="仿宋_GB2312" w:cs="黑体"/>
          <w:sz w:val="32"/>
          <w:szCs w:val="32"/>
        </w:rPr>
        <w:t>等</w:t>
      </w:r>
      <w:bookmarkStart w:id="0" w:name="_Hlk136423895"/>
      <w:r>
        <w:rPr>
          <w:rFonts w:ascii="仿宋_GB2312" w:hAnsi="黑体" w:eastAsia="仿宋_GB2312" w:cs="黑体"/>
          <w:sz w:val="32"/>
          <w:szCs w:val="32"/>
        </w:rPr>
        <w:t>国家明文给予政策扶持的</w:t>
      </w:r>
      <w:r>
        <w:rPr>
          <w:rFonts w:hint="eastAsia" w:ascii="仿宋_GB2312" w:hAnsi="黑体" w:eastAsia="仿宋_GB2312" w:cs="黑体"/>
          <w:sz w:val="32"/>
          <w:szCs w:val="32"/>
        </w:rPr>
        <w:t>纾困、优抚对象</w:t>
      </w:r>
      <w:bookmarkEnd w:id="0"/>
      <w:r>
        <w:rPr>
          <w:rFonts w:hint="eastAsia" w:ascii="仿宋_GB2312" w:hAnsi="黑体" w:eastAsia="仿宋_GB2312" w:cs="黑体"/>
          <w:sz w:val="32"/>
          <w:szCs w:val="32"/>
        </w:rPr>
        <w:t>，首次申请且持证（残疾证、烈士证、退役军人证）本人实际经营的（本人营业执照组成形式为个人经营的个体工商户），受市场单元零售点规划数量限制，间距限制执行间距标准的70%。纾困、优抚对象以扶持条款取得的卷烟零售许可证不得变更。</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第十三条  </w:t>
      </w:r>
      <w:r>
        <w:rPr>
          <w:rFonts w:hint="eastAsia" w:ascii="仿宋_GB2312" w:hAnsi="黑体" w:eastAsia="仿宋_GB2312" w:cs="黑体"/>
          <w:sz w:val="32"/>
          <w:szCs w:val="32"/>
        </w:rPr>
        <w:t>有下列情形之一的，不受市场单元零售点规划数量和间距限制：</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（一）经营场所位于中小学、幼儿园周围限制区域，持证人在许可证有效期内申请变更到本辖区内其他地址经营的。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（二）因道路规划、城市建设等客观原因造成无法在核定经营地址经营，持证人在许可证有效期内申请变更到本辖区内其他地址经营的。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（三）符合当地烟草公司规定的雪茄烟存储、销售、品鉴等经营条件且仅从事雪茄烟零售业务的。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（四）达到《中华人民共和国零售业态分类国家标准》（GB/T 18106-2021）中型超市规模以上面积要求，经营面积在2000m</w:t>
      </w:r>
      <w:r>
        <w:rPr>
          <w:rFonts w:hint="eastAsia" w:ascii="仿宋_GB2312" w:hAnsi="黑体" w:eastAsia="仿宋_GB2312" w:cs="黑体"/>
          <w:sz w:val="32"/>
          <w:szCs w:val="32"/>
          <w:vertAlign w:val="superscript"/>
        </w:rPr>
        <w:t>2</w:t>
      </w:r>
      <w:r>
        <w:rPr>
          <w:rFonts w:hint="eastAsia" w:ascii="仿宋_GB2312" w:hAnsi="黑体" w:eastAsia="仿宋_GB2312" w:cs="黑体"/>
          <w:sz w:val="32"/>
          <w:szCs w:val="32"/>
        </w:rPr>
        <w:t>以上（含）的。</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上述情形所设零售点不作为市场单元规划数量，也不作为其他零售点新办核查的距离参照物。</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第十四条  </w:t>
      </w:r>
      <w:r>
        <w:rPr>
          <w:rFonts w:ascii="仿宋_GB2312" w:hAnsi="黑体" w:eastAsia="仿宋_GB2312" w:cs="黑体"/>
          <w:sz w:val="32"/>
          <w:szCs w:val="32"/>
        </w:rPr>
        <w:t>申请主体有下列情形之一的，</w:t>
      </w:r>
      <w:bookmarkStart w:id="1" w:name="_Hlk136424880"/>
      <w:r>
        <w:rPr>
          <w:rFonts w:hint="eastAsia" w:ascii="仿宋_GB2312" w:hAnsi="黑体" w:eastAsia="仿宋_GB2312" w:cs="黑体"/>
          <w:sz w:val="32"/>
          <w:szCs w:val="32"/>
        </w:rPr>
        <w:t>不予核发烟草专卖零售许可证</w:t>
      </w:r>
      <w:bookmarkEnd w:id="1"/>
      <w:r>
        <w:rPr>
          <w:rFonts w:ascii="仿宋_GB2312" w:hAnsi="黑体" w:eastAsia="仿宋_GB2312" w:cs="黑体"/>
          <w:sz w:val="32"/>
          <w:szCs w:val="32"/>
        </w:rPr>
        <w:t>：</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（一）未成年人、</w:t>
      </w:r>
      <w:r>
        <w:rPr>
          <w:rFonts w:ascii="仿宋_GB2312" w:hAnsi="黑体" w:eastAsia="仿宋_GB2312" w:cs="黑体"/>
          <w:sz w:val="32"/>
          <w:szCs w:val="32"/>
        </w:rPr>
        <w:t>无民事行为能力人</w:t>
      </w:r>
      <w:r>
        <w:rPr>
          <w:rFonts w:hint="eastAsia" w:ascii="仿宋_GB2312" w:hAnsi="黑体" w:eastAsia="仿宋_GB2312" w:cs="黑体"/>
          <w:sz w:val="32"/>
          <w:szCs w:val="32"/>
        </w:rPr>
        <w:t>或者</w:t>
      </w:r>
      <w:r>
        <w:rPr>
          <w:rFonts w:ascii="仿宋_GB2312" w:hAnsi="黑体" w:eastAsia="仿宋_GB2312" w:cs="黑体"/>
          <w:sz w:val="32"/>
          <w:szCs w:val="32"/>
        </w:rPr>
        <w:t>限制民事行为能力人</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w:t>
      </w:r>
      <w:r>
        <w:rPr>
          <w:rFonts w:ascii="仿宋_GB2312" w:hAnsi="黑体" w:eastAsia="仿宋_GB2312" w:cs="黑体"/>
          <w:sz w:val="32"/>
          <w:szCs w:val="32"/>
        </w:rPr>
        <w:t>外商投资的商业企业或者个体工商户</w:t>
      </w:r>
      <w:r>
        <w:rPr>
          <w:rFonts w:hint="eastAsia" w:ascii="仿宋_GB2312" w:hAnsi="黑体" w:eastAsia="仿宋_GB2312" w:cs="黑体"/>
          <w:sz w:val="32"/>
          <w:szCs w:val="32"/>
        </w:rPr>
        <w:t>，或者其</w:t>
      </w:r>
      <w:r>
        <w:rPr>
          <w:rFonts w:ascii="仿宋_GB2312" w:hAnsi="黑体" w:eastAsia="仿宋_GB2312" w:cs="黑体"/>
          <w:sz w:val="32"/>
          <w:szCs w:val="32"/>
        </w:rPr>
        <w:t>以特许、吸纳加盟</w:t>
      </w:r>
      <w:r>
        <w:rPr>
          <w:rFonts w:hint="eastAsia" w:ascii="仿宋_GB2312" w:hAnsi="黑体" w:eastAsia="仿宋_GB2312" w:cs="黑体"/>
          <w:sz w:val="32"/>
          <w:szCs w:val="32"/>
        </w:rPr>
        <w:t>店</w:t>
      </w:r>
      <w:r>
        <w:rPr>
          <w:rFonts w:ascii="仿宋_GB2312" w:hAnsi="黑体" w:eastAsia="仿宋_GB2312" w:cs="黑体"/>
          <w:sz w:val="32"/>
          <w:szCs w:val="32"/>
        </w:rPr>
        <w:t>以及其他再投资等形式变相从事烟草专卖品经营的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w:t>
      </w:r>
      <w:r>
        <w:rPr>
          <w:rFonts w:ascii="仿宋_GB2312" w:hAnsi="黑体" w:eastAsia="仿宋_GB2312" w:cs="黑体"/>
          <w:sz w:val="32"/>
          <w:szCs w:val="32"/>
        </w:rPr>
        <w:t>取消从事烟草专卖业务资格不满三年的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w:t>
      </w:r>
      <w:r>
        <w:rPr>
          <w:rFonts w:ascii="仿宋_GB2312" w:hAnsi="黑体" w:eastAsia="仿宋_GB2312" w:cs="黑体"/>
          <w:sz w:val="32"/>
          <w:szCs w:val="32"/>
        </w:rPr>
        <w:t>隐瞒有关情况或者提供虚假材料，烟草专卖局作出不予受理或者不予发证决定后，一年内再次提出申请的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w:t>
      </w:r>
      <w:r>
        <w:rPr>
          <w:rFonts w:ascii="仿宋_GB2312" w:hAnsi="黑体" w:eastAsia="仿宋_GB2312" w:cs="黑体"/>
          <w:sz w:val="32"/>
          <w:szCs w:val="32"/>
        </w:rPr>
        <w:t>以欺骗、贿赂等不正当手段取得的烟草专卖许可证被撤销后，三年内再次提出申请的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（六）未领取烟草专卖零售许可证经营烟草专卖品业务被追究刑事责任，在三年内申请领取烟草专卖零售许可证的；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（七）未领取烟草专卖零售许可证经营烟草专卖品业务，并且一年内被执法机关处罚两次以上，在三年内申请领取烟草专卖零售许可证的；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（八）</w:t>
      </w:r>
      <w:bookmarkStart w:id="2" w:name="_Hlk133072016"/>
      <w:r>
        <w:rPr>
          <w:rFonts w:ascii="仿宋_GB2312" w:hAnsi="黑体" w:eastAsia="仿宋_GB2312" w:cs="黑体"/>
          <w:sz w:val="32"/>
          <w:szCs w:val="32"/>
        </w:rPr>
        <w:t>其他依法不得从事烟草制品零售业务的情形</w:t>
      </w:r>
      <w:bookmarkEnd w:id="2"/>
      <w:r>
        <w:rPr>
          <w:rFonts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第十五条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经营场所有下列情形之一的，不予核发烟草专卖零售许可证：</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（一）无固定经营场所的；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（二）经营场所与住所不相独立的；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w:t>
      </w:r>
      <w:r>
        <w:rPr>
          <w:rFonts w:ascii="仿宋_GB2312" w:hAnsi="黑体" w:eastAsia="仿宋_GB2312" w:cs="黑体"/>
          <w:sz w:val="32"/>
          <w:szCs w:val="32"/>
        </w:rPr>
        <w:t>中小学</w:t>
      </w:r>
      <w:r>
        <w:rPr>
          <w:rFonts w:hint="eastAsia" w:ascii="仿宋_GB2312" w:hAnsi="黑体" w:eastAsia="仿宋_GB2312" w:cs="黑体"/>
          <w:sz w:val="32"/>
          <w:szCs w:val="32"/>
        </w:rPr>
        <w:t>校、</w:t>
      </w:r>
      <w:r>
        <w:rPr>
          <w:rFonts w:ascii="仿宋_GB2312" w:hAnsi="黑体" w:eastAsia="仿宋_GB2312" w:cs="黑体"/>
          <w:sz w:val="32"/>
          <w:szCs w:val="32"/>
        </w:rPr>
        <w:t>幼儿园</w:t>
      </w:r>
      <w:r>
        <w:rPr>
          <w:rFonts w:hint="eastAsia" w:ascii="仿宋_GB2312" w:hAnsi="黑体" w:eastAsia="仿宋_GB2312" w:cs="黑体"/>
          <w:sz w:val="32"/>
          <w:szCs w:val="32"/>
        </w:rPr>
        <w:t>内及其进出通道口向外延伸间距100</w:t>
      </w:r>
      <w:r>
        <w:rPr>
          <w:rFonts w:ascii="仿宋_GB2312" w:hAnsi="黑体" w:eastAsia="仿宋_GB2312" w:cs="黑体"/>
          <w:sz w:val="32"/>
          <w:szCs w:val="32"/>
        </w:rPr>
        <w:t>米</w:t>
      </w:r>
      <w:r>
        <w:rPr>
          <w:rFonts w:hint="eastAsia" w:ascii="仿宋_GB2312" w:hAnsi="黑体" w:eastAsia="仿宋_GB2312" w:cs="黑体"/>
          <w:sz w:val="32"/>
          <w:szCs w:val="32"/>
        </w:rPr>
        <w:t>以</w:t>
      </w:r>
      <w:r>
        <w:rPr>
          <w:rFonts w:ascii="仿宋_GB2312" w:hAnsi="黑体" w:eastAsia="仿宋_GB2312" w:cs="黑体"/>
          <w:sz w:val="32"/>
          <w:szCs w:val="32"/>
        </w:rPr>
        <w:t>内的</w:t>
      </w:r>
      <w:r>
        <w:rPr>
          <w:rFonts w:hint="eastAsia" w:ascii="仿宋_GB2312" w:hAnsi="黑体" w:eastAsia="仿宋_GB2312" w:cs="黑体"/>
          <w:sz w:val="32"/>
          <w:szCs w:val="32"/>
        </w:rPr>
        <w:t>；</w:t>
      </w:r>
      <w:r>
        <w:rPr>
          <w:rFonts w:ascii="仿宋_GB2312" w:hAnsi="黑体" w:eastAsia="仿宋_GB2312" w:cs="黑体"/>
          <w:sz w:val="32"/>
          <w:szCs w:val="32"/>
        </w:rPr>
        <w:t xml:space="preserve"> </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（四）位于</w:t>
      </w:r>
      <w:r>
        <w:rPr>
          <w:rFonts w:ascii="仿宋_GB2312" w:hAnsi="黑体" w:eastAsia="仿宋_GB2312" w:cs="黑体"/>
          <w:sz w:val="32"/>
          <w:szCs w:val="32"/>
        </w:rPr>
        <w:t>党政机关、</w:t>
      </w:r>
      <w:bookmarkStart w:id="3" w:name="_Hlk134774964"/>
      <w:r>
        <w:rPr>
          <w:rFonts w:ascii="仿宋_GB2312" w:hAnsi="黑体" w:eastAsia="仿宋_GB2312" w:cs="黑体"/>
          <w:sz w:val="32"/>
          <w:szCs w:val="32"/>
        </w:rPr>
        <w:t>医疗机构</w:t>
      </w:r>
      <w:bookmarkEnd w:id="3"/>
      <w:r>
        <w:rPr>
          <w:rFonts w:ascii="仿宋_GB2312" w:hAnsi="黑体" w:eastAsia="仿宋_GB2312" w:cs="黑体"/>
          <w:sz w:val="32"/>
          <w:szCs w:val="32"/>
        </w:rPr>
        <w:t>内部</w:t>
      </w:r>
      <w:r>
        <w:rPr>
          <w:rFonts w:hint="eastAsia" w:ascii="仿宋_GB2312" w:hAnsi="黑体" w:eastAsia="仿宋_GB2312" w:cs="黑体"/>
          <w:sz w:val="32"/>
          <w:szCs w:val="32"/>
        </w:rPr>
        <w:t>的；</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（五）已被政府纳入拆迁规划的区域；</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（六）办公楼、写字楼等除首层沿街以外的场所；</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七）爱国主义教育基地、图书馆、青少年宫、儿童活动中心、儿童之家、博物馆、纪念馆、科技馆、展览馆、美术馆、文化馆、社区公益性互联网上网服务场所以及影剧院、体育场馆、动物园、植物园、公园等未成年人活动聚集场所及其附属设施内部；</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（八）母婴用品、文具玩具、青少年培训机构、未成年人游乐场所等容易诱导未成年人关注、购买、吸食烟草制品的场所内部；</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（九）生产、经营、储存有毒有害、易燃易爆易挥发类物质，容易造成烟草制品污染或基于安全因素不适宜经营烟草制品的经营场所；</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（十）申请时不具备商品售卖条件的；</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（十一）政府或相关部门明文规定不适宜经营烟草制品的场所；</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（十二）</w:t>
      </w:r>
      <w:bookmarkStart w:id="4" w:name="_Hlk133072425"/>
      <w:r>
        <w:rPr>
          <w:rFonts w:hint="eastAsia" w:ascii="仿宋_GB2312" w:hAnsi="黑体" w:eastAsia="仿宋_GB2312" w:cs="黑体"/>
          <w:sz w:val="32"/>
          <w:szCs w:val="32"/>
        </w:rPr>
        <w:t>其他依法不得从事烟草制品零售业务的场所。</w:t>
      </w:r>
      <w:bookmarkEnd w:id="4"/>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第十六条  </w:t>
      </w:r>
      <w:r>
        <w:rPr>
          <w:rFonts w:hint="eastAsia" w:ascii="仿宋_GB2312" w:hAnsi="黑体" w:eastAsia="仿宋_GB2312" w:cs="黑体"/>
          <w:sz w:val="32"/>
          <w:szCs w:val="32"/>
        </w:rPr>
        <w:t>主营业务为服装鞋帽、医疗器械、物流寄递、电子商品、网吧网咖、美发美容、保健按摩、五金汽修、文体用品、鲜花绿植、家居建材等专业性较强，与烟草制品零售业务没有直接或间接互补营销关系的业态类型不予设置零售点。</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第十七条  </w:t>
      </w:r>
      <w:r>
        <w:rPr>
          <w:rFonts w:hint="eastAsia" w:ascii="仿宋_GB2312" w:hAnsi="黑体" w:eastAsia="仿宋_GB2312" w:cs="黑体"/>
          <w:sz w:val="32"/>
          <w:szCs w:val="32"/>
        </w:rPr>
        <w:t>经营模式有下列情形之一的，不予核发烟草专卖零售许可证：</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w:t>
      </w:r>
      <w:r>
        <w:rPr>
          <w:rFonts w:ascii="仿宋_GB2312" w:hAnsi="黑体" w:eastAsia="仿宋_GB2312" w:cs="黑体"/>
          <w:sz w:val="32"/>
          <w:szCs w:val="32"/>
        </w:rPr>
        <w:t>利用自动售货机（柜）</w:t>
      </w:r>
      <w:r>
        <w:rPr>
          <w:rFonts w:hint="eastAsia" w:ascii="仿宋_GB2312" w:hAnsi="黑体" w:eastAsia="仿宋_GB2312" w:cs="黑体"/>
          <w:sz w:val="32"/>
          <w:szCs w:val="32"/>
        </w:rPr>
        <w:t>或其他自动售货方式</w:t>
      </w:r>
      <w:r>
        <w:rPr>
          <w:rFonts w:ascii="仿宋_GB2312" w:hAnsi="黑体" w:eastAsia="仿宋_GB2312" w:cs="黑体"/>
          <w:sz w:val="32"/>
          <w:szCs w:val="32"/>
        </w:rPr>
        <w:t>销售烟草制品</w:t>
      </w:r>
      <w:r>
        <w:rPr>
          <w:rFonts w:hint="eastAsia" w:ascii="仿宋_GB2312" w:hAnsi="黑体" w:eastAsia="仿宋_GB2312" w:cs="黑体"/>
          <w:sz w:val="32"/>
          <w:szCs w:val="32"/>
        </w:rPr>
        <w:t>的；</w:t>
      </w:r>
    </w:p>
    <w:p>
      <w:pPr>
        <w:adjustRightInd w:val="0"/>
        <w:snapToGrid w:val="0"/>
        <w:spacing w:line="360" w:lineRule="auto"/>
        <w:ind w:firstLine="640" w:firstLineChars="200"/>
        <w:rPr>
          <w:rFonts w:ascii="仿宋_GB2312" w:hAnsi="黑体" w:eastAsia="仿宋_GB2312" w:cs="黑体"/>
          <w:sz w:val="32"/>
          <w:szCs w:val="32"/>
        </w:rPr>
      </w:pPr>
      <w:bookmarkStart w:id="5" w:name="_Hlk136436710"/>
      <w:r>
        <w:rPr>
          <w:rFonts w:hint="eastAsia" w:ascii="仿宋_GB2312" w:hAnsi="黑体" w:eastAsia="仿宋_GB2312" w:cs="黑体"/>
          <w:sz w:val="32"/>
          <w:szCs w:val="32"/>
        </w:rPr>
        <w:t>（二）以无人售货等形式销售烟草制品的；</w:t>
      </w:r>
    </w:p>
    <w:bookmarkEnd w:id="5"/>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（三）以游戏、博彩等方式经营烟草制品的；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w:t>
      </w:r>
      <w:r>
        <w:rPr>
          <w:rFonts w:ascii="仿宋_GB2312" w:hAnsi="黑体" w:eastAsia="仿宋_GB2312" w:cs="黑体"/>
          <w:sz w:val="32"/>
          <w:szCs w:val="32"/>
        </w:rPr>
        <w:t>通过信息网络销售烟草制品的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w:t>
      </w:r>
      <w:r>
        <w:rPr>
          <w:rFonts w:ascii="仿宋_GB2312" w:hAnsi="黑体" w:eastAsia="仿宋_GB2312" w:cs="黑体"/>
          <w:sz w:val="32"/>
          <w:szCs w:val="32"/>
        </w:rPr>
        <w:t>其他依法不得从事烟草制品零售业务的情形。</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第十八条  </w:t>
      </w:r>
      <w:r>
        <w:rPr>
          <w:rFonts w:hint="eastAsia" w:ascii="仿宋_GB2312" w:hAnsi="黑体" w:eastAsia="仿宋_GB2312" w:cs="黑体"/>
          <w:sz w:val="32"/>
          <w:szCs w:val="32"/>
        </w:rPr>
        <w:t>除经营场所的安全要求和中小学、幼儿园周围的限制规定外，本规定不溯及已持有烟草专卖零售许可证的零售户。</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第十九条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本规定下列用语的含义：</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固定经营场所”，是指用于商品销售、存储的不可移动且合法使用的场所，不包括住宅、公寓或其附属的地下室、储藏室、车库等，也不包含流动摊点（车、棚）、违章建筑、临时建筑物（建筑工地除外）等。但申请人用于存放烟草制品的储藏室、仓库等空间视为经营场所，应当在实地核查时予以明确。</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（二）“与住所相独立”，是指经营场所与生活居住场所在物理空间上隔离且有明确的区域界线。</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（三）“中、小学校”，是指普通中小学、特殊教育学校、中等职业学校、专门学校。</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（四）“幼儿园”，是指经教育行政部门审批注册的对学龄前幼儿实施教育的机构。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（五）“具备商品售卖条件”，是指已经依法取得营业执照，设置商品展示零售的柜台或货架，明确存储位置或场所，具备正常开展经营活动的条件。</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（六）“间距”，是指申请点与最近零售点或中小学、幼儿园进出通道口之间依法可通行的最短距离（间距测量规则及标准详见附件2）。</w:t>
      </w:r>
    </w:p>
    <w:p>
      <w:pPr>
        <w:adjustRightInd w:val="0"/>
        <w:snapToGrid w:val="0"/>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第二十条  </w:t>
      </w:r>
      <w:r>
        <w:rPr>
          <w:rFonts w:hint="eastAsia" w:ascii="仿宋_GB2312" w:hAnsi="黑体" w:eastAsia="仿宋_GB2312" w:cs="仿宋_GB2312"/>
          <w:sz w:val="32"/>
          <w:szCs w:val="32"/>
        </w:rPr>
        <w:t>市场单元零售点规划数量、间距标准每年通过烟台市烟草专卖局政务服务平台予以公布，可根据实际情况调整公布时间和频次。</w:t>
      </w:r>
    </w:p>
    <w:p>
      <w:pPr>
        <w:adjustRightInd w:val="0"/>
        <w:snapToGrid w:val="0"/>
        <w:spacing w:line="360" w:lineRule="auto"/>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申请人轮候排序情况通过烟台市烟草专卖局政务服务平台或招远市烟草专卖局政务服务大厅公示栏、电子查询系统或互联网等方式予以公示。</w:t>
      </w:r>
    </w:p>
    <w:p>
      <w:pPr>
        <w:adjustRightInd w:val="0"/>
        <w:snapToGrid w:val="0"/>
        <w:spacing w:line="360" w:lineRule="auto"/>
        <w:ind w:firstLine="640" w:firstLineChars="200"/>
        <w:rPr>
          <w:rFonts w:ascii="仿宋_GB2312" w:hAnsi="黑体" w:eastAsia="仿宋_GB2312" w:cs="仿宋_GB2312"/>
          <w:sz w:val="32"/>
          <w:szCs w:val="32"/>
        </w:rPr>
      </w:pPr>
      <w:r>
        <w:rPr>
          <w:rFonts w:hint="eastAsia" w:ascii="黑体" w:hAnsi="黑体" w:eastAsia="黑体" w:cs="仿宋_GB2312"/>
          <w:sz w:val="32"/>
          <w:szCs w:val="32"/>
        </w:rPr>
        <w:t xml:space="preserve">第二十一条  </w:t>
      </w:r>
      <w:r>
        <w:rPr>
          <w:rFonts w:hint="eastAsia" w:ascii="仿宋_GB2312" w:hAnsi="黑体" w:eastAsia="仿宋_GB2312" w:cs="仿宋_GB2312"/>
          <w:sz w:val="32"/>
          <w:szCs w:val="32"/>
        </w:rPr>
        <w:t>本规定中“以上”、“以内”包括本数，“超过”不包括本数。</w:t>
      </w:r>
    </w:p>
    <w:p>
      <w:pPr>
        <w:adjustRightInd w:val="0"/>
        <w:snapToGrid w:val="0"/>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第二十二条  </w:t>
      </w:r>
      <w:r>
        <w:rPr>
          <w:rFonts w:hint="eastAsia" w:ascii="仿宋_GB2312" w:hAnsi="黑体" w:eastAsia="仿宋_GB2312" w:cs="仿宋_GB2312"/>
          <w:sz w:val="32"/>
          <w:szCs w:val="32"/>
        </w:rPr>
        <w:t>本规定在实施过程中，法律、法规、规章及上级主管部门制定的规范性文件另有规定的，从其规定。</w:t>
      </w:r>
    </w:p>
    <w:p>
      <w:pPr>
        <w:adjustRightInd w:val="0"/>
        <w:snapToGrid w:val="0"/>
        <w:spacing w:line="360" w:lineRule="auto"/>
        <w:ind w:firstLine="640" w:firstLineChars="200"/>
        <w:rPr>
          <w:rFonts w:ascii="仿宋_GB2312" w:hAnsi="黑体" w:eastAsia="仿宋_GB2312" w:cs="仿宋_GB2312"/>
          <w:sz w:val="32"/>
          <w:szCs w:val="32"/>
        </w:rPr>
      </w:pPr>
      <w:r>
        <w:rPr>
          <w:rFonts w:hint="eastAsia" w:ascii="黑体" w:hAnsi="黑体" w:eastAsia="黑体" w:cs="仿宋_GB2312"/>
          <w:sz w:val="32"/>
          <w:szCs w:val="32"/>
        </w:rPr>
        <w:t xml:space="preserve">第二十三条  </w:t>
      </w:r>
      <w:r>
        <w:rPr>
          <w:rFonts w:hint="eastAsia" w:ascii="仿宋_GB2312" w:hAnsi="黑体" w:eastAsia="仿宋_GB2312" w:cs="仿宋_GB2312"/>
          <w:sz w:val="32"/>
          <w:szCs w:val="32"/>
        </w:rPr>
        <w:t>本规定由招远市烟草专卖局负责解释。</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第二十四条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本规定自2024年*月*日起施行。</w:t>
      </w:r>
      <w:r>
        <w:rPr>
          <w:rFonts w:ascii="仿宋_GB2312" w:hAnsi="黑体" w:eastAsia="仿宋_GB2312" w:cs="黑体"/>
          <w:sz w:val="32"/>
          <w:szCs w:val="32"/>
        </w:rPr>
        <w:t>2022</w:t>
      </w:r>
      <w:r>
        <w:rPr>
          <w:rFonts w:hint="eastAsia" w:ascii="仿宋_GB2312" w:hAnsi="黑体" w:eastAsia="仿宋_GB2312" w:cs="黑体"/>
          <w:sz w:val="32"/>
          <w:szCs w:val="32"/>
        </w:rPr>
        <w:t>年</w:t>
      </w:r>
      <w:r>
        <w:rPr>
          <w:rFonts w:ascii="仿宋_GB2312" w:hAnsi="黑体" w:eastAsia="仿宋_GB2312" w:cs="黑体"/>
          <w:sz w:val="32"/>
          <w:szCs w:val="32"/>
        </w:rPr>
        <w:t>12</w:t>
      </w:r>
      <w:r>
        <w:rPr>
          <w:rFonts w:hint="eastAsia" w:ascii="仿宋_GB2312" w:hAnsi="黑体" w:eastAsia="仿宋_GB2312" w:cs="黑体"/>
          <w:sz w:val="32"/>
          <w:szCs w:val="32"/>
        </w:rPr>
        <w:t>月</w:t>
      </w:r>
      <w:r>
        <w:rPr>
          <w:rFonts w:ascii="仿宋_GB2312" w:hAnsi="黑体" w:eastAsia="仿宋_GB2312" w:cs="黑体"/>
          <w:sz w:val="32"/>
          <w:szCs w:val="32"/>
        </w:rPr>
        <w:t>22</w:t>
      </w:r>
      <w:r>
        <w:rPr>
          <w:rFonts w:hint="eastAsia" w:ascii="仿宋_GB2312" w:hAnsi="黑体" w:eastAsia="仿宋_GB2312" w:cs="黑体"/>
          <w:sz w:val="32"/>
          <w:szCs w:val="32"/>
        </w:rPr>
        <w:t>日施行的《招远市烟草制品零售点合理布局规定》（招烟专〔</w:t>
      </w:r>
      <w:r>
        <w:rPr>
          <w:rFonts w:ascii="仿宋_GB2312" w:hAnsi="黑体" w:eastAsia="仿宋_GB2312" w:cs="黑体"/>
          <w:sz w:val="32"/>
          <w:szCs w:val="32"/>
        </w:rPr>
        <w:t>2022</w:t>
      </w:r>
      <w:r>
        <w:rPr>
          <w:rFonts w:hint="eastAsia" w:ascii="仿宋_GB2312" w:hAnsi="黑体" w:eastAsia="仿宋_GB2312" w:cs="黑体"/>
          <w:sz w:val="32"/>
          <w:szCs w:val="32"/>
        </w:rPr>
        <w:t>〕</w:t>
      </w:r>
      <w:r>
        <w:rPr>
          <w:rFonts w:ascii="仿宋_GB2312" w:hAnsi="黑体" w:eastAsia="仿宋_GB2312" w:cs="黑体"/>
          <w:sz w:val="32"/>
          <w:szCs w:val="32"/>
        </w:rPr>
        <w:t>3</w:t>
      </w:r>
      <w:r>
        <w:rPr>
          <w:rFonts w:hint="eastAsia" w:ascii="仿宋_GB2312" w:hAnsi="黑体" w:eastAsia="仿宋_GB2312" w:cs="黑体"/>
          <w:sz w:val="32"/>
          <w:szCs w:val="32"/>
        </w:rPr>
        <w:t>号）同时废止。</w:t>
      </w:r>
    </w:p>
    <w:p>
      <w:pPr>
        <w:spacing w:line="360" w:lineRule="auto"/>
        <w:ind w:left="1918" w:leftChars="304" w:hanging="1280" w:hangingChars="400"/>
        <w:rPr>
          <w:rFonts w:ascii="黑体" w:hAnsi="黑体" w:eastAsia="黑体" w:cs="仿宋_GB2312"/>
          <w:sz w:val="32"/>
          <w:szCs w:val="32"/>
        </w:rPr>
      </w:pPr>
    </w:p>
    <w:p>
      <w:pPr>
        <w:spacing w:line="360" w:lineRule="auto"/>
        <w:ind w:left="1918" w:leftChars="304" w:hanging="1280" w:hangingChars="400"/>
        <w:rPr>
          <w:rFonts w:ascii="仿宋_GB2312" w:hAnsi="黑体" w:eastAsia="仿宋_GB2312" w:cs="黑体"/>
          <w:sz w:val="32"/>
          <w:szCs w:val="32"/>
        </w:rPr>
      </w:pPr>
      <w:r>
        <w:rPr>
          <w:rFonts w:hint="eastAsia" w:ascii="黑体" w:hAnsi="黑体" w:eastAsia="黑体" w:cs="仿宋_GB2312"/>
          <w:sz w:val="32"/>
          <w:szCs w:val="32"/>
        </w:rPr>
        <w:t>附件</w:t>
      </w:r>
      <w:r>
        <w:rPr>
          <w:rFonts w:ascii="黑体" w:hAnsi="黑体" w:eastAsia="黑体" w:cs="仿宋_GB2312"/>
          <w:sz w:val="32"/>
          <w:szCs w:val="32"/>
        </w:rPr>
        <w:t>：</w:t>
      </w:r>
      <w:r>
        <w:rPr>
          <w:rFonts w:hint="eastAsia" w:ascii="仿宋_GB2312" w:hAnsi="华文仿宋" w:eastAsia="仿宋_GB2312"/>
          <w:sz w:val="32"/>
          <w:szCs w:val="32"/>
        </w:rPr>
        <w:t>1.</w:t>
      </w:r>
      <w:r>
        <w:rPr>
          <w:rFonts w:hint="eastAsia" w:ascii="仿宋_GB2312" w:hAnsi="黑体" w:eastAsia="仿宋_GB2312" w:cs="黑体"/>
          <w:sz w:val="32"/>
          <w:szCs w:val="32"/>
        </w:rPr>
        <w:t>《招远市烟草专卖局市场单元烟草制品零售点布局规划明细表》</w:t>
      </w:r>
    </w:p>
    <w:p>
      <w:pPr>
        <w:spacing w:line="360" w:lineRule="auto"/>
        <w:ind w:left="2076" w:leftChars="760" w:hanging="480" w:hangingChars="150"/>
        <w:rPr>
          <w:rFonts w:ascii="仿宋_GB2312" w:hAnsi="黑体" w:eastAsia="仿宋_GB2312" w:cs="黑体"/>
          <w:sz w:val="32"/>
          <w:szCs w:val="32"/>
        </w:rPr>
        <w:sectPr>
          <w:footerReference r:id="rId3" w:type="default"/>
          <w:pgSz w:w="11906" w:h="16838"/>
          <w:pgMar w:top="1531" w:right="1531" w:bottom="1531" w:left="1531" w:header="851" w:footer="992" w:gutter="0"/>
          <w:cols w:space="425" w:num="1"/>
          <w:docGrid w:type="lines" w:linePitch="312" w:charSpace="0"/>
        </w:sectPr>
      </w:pPr>
      <w:r>
        <w:rPr>
          <w:rFonts w:hint="eastAsia" w:ascii="仿宋_GB2312" w:hAnsi="华文仿宋" w:eastAsia="仿宋_GB2312"/>
          <w:sz w:val="32"/>
          <w:szCs w:val="32"/>
        </w:rPr>
        <w:t>2.</w:t>
      </w:r>
      <w:r>
        <w:rPr>
          <w:rFonts w:hint="eastAsia" w:ascii="仿宋_GB2312" w:hAnsi="黑体" w:eastAsia="仿宋_GB2312" w:cs="黑体"/>
          <w:sz w:val="32"/>
          <w:szCs w:val="32"/>
        </w:rPr>
        <w:t>《招远市烟草专卖局烟草制品零售点间距测量规则及标准</w:t>
      </w:r>
      <w:r>
        <w:rPr>
          <w:rFonts w:ascii="仿宋_GB2312" w:hAnsi="黑体" w:eastAsia="仿宋_GB2312" w:cs="黑体"/>
          <w:sz w:val="32"/>
          <w:szCs w:val="32"/>
        </w:rPr>
        <w:t>》</w:t>
      </w:r>
    </w:p>
    <w:p>
      <w:pPr>
        <w:rPr>
          <w:rFonts w:ascii="黑体" w:hAnsi="黑体" w:eastAsia="黑体"/>
          <w:sz w:val="32"/>
          <w:szCs w:val="32"/>
        </w:rPr>
      </w:pPr>
      <w:r>
        <w:rPr>
          <w:rFonts w:hint="eastAsia" w:ascii="黑体" w:hAnsi="黑体" w:eastAsia="黑体"/>
          <w:sz w:val="32"/>
          <w:szCs w:val="32"/>
        </w:rPr>
        <w:t>附件1：</w:t>
      </w:r>
    </w:p>
    <w:tbl>
      <w:tblPr>
        <w:tblStyle w:val="8"/>
        <w:tblW w:w="13469" w:type="dxa"/>
        <w:tblInd w:w="108" w:type="dxa"/>
        <w:tblLayout w:type="autofit"/>
        <w:tblCellMar>
          <w:top w:w="0" w:type="dxa"/>
          <w:left w:w="108" w:type="dxa"/>
          <w:bottom w:w="0" w:type="dxa"/>
          <w:right w:w="108" w:type="dxa"/>
        </w:tblCellMar>
      </w:tblPr>
      <w:tblGrid>
        <w:gridCol w:w="2340"/>
        <w:gridCol w:w="2905"/>
        <w:gridCol w:w="3827"/>
        <w:gridCol w:w="1560"/>
        <w:gridCol w:w="2820"/>
        <w:gridCol w:w="17"/>
      </w:tblGrid>
      <w:tr>
        <w:tblPrEx>
          <w:tblCellMar>
            <w:top w:w="0" w:type="dxa"/>
            <w:left w:w="108" w:type="dxa"/>
            <w:bottom w:w="0" w:type="dxa"/>
            <w:right w:w="108" w:type="dxa"/>
          </w:tblCellMar>
        </w:tblPrEx>
        <w:trPr>
          <w:trHeight w:val="885" w:hRule="atLeast"/>
        </w:trPr>
        <w:tc>
          <w:tcPr>
            <w:tcW w:w="13469" w:type="dxa"/>
            <w:gridSpan w:val="6"/>
            <w:tcBorders>
              <w:top w:val="nil"/>
              <w:left w:val="nil"/>
              <w:bottom w:val="single" w:color="auto" w:sz="4" w:space="0"/>
              <w:right w:val="nil"/>
            </w:tcBorders>
            <w:shd w:val="clear" w:color="auto" w:fill="auto"/>
            <w:noWrap/>
            <w:vAlign w:val="center"/>
          </w:tcPr>
          <w:p>
            <w:pPr>
              <w:widowControl/>
              <w:jc w:val="center"/>
              <w:rPr>
                <w:rFonts w:ascii="方正小标宋简体" w:hAnsi="等线" w:eastAsia="方正小标宋简体" w:cs="宋体"/>
                <w:color w:val="000000"/>
                <w:kern w:val="0"/>
                <w:sz w:val="44"/>
                <w:szCs w:val="44"/>
              </w:rPr>
            </w:pPr>
            <w:r>
              <w:rPr>
                <w:rFonts w:hint="eastAsia" w:ascii="方正小标宋简体" w:hAnsi="等线" w:eastAsia="方正小标宋简体" w:cs="宋体"/>
                <w:color w:val="000000"/>
                <w:kern w:val="0"/>
                <w:sz w:val="44"/>
                <w:szCs w:val="44"/>
              </w:rPr>
              <w:t>招远市烟草专卖局市场单元烟草制品零售点布局规划明细表</w:t>
            </w:r>
          </w:p>
        </w:tc>
      </w:tr>
      <w:tr>
        <w:tblPrEx>
          <w:tblCellMar>
            <w:top w:w="0" w:type="dxa"/>
            <w:left w:w="108" w:type="dxa"/>
            <w:bottom w:w="0" w:type="dxa"/>
            <w:right w:w="108" w:type="dxa"/>
          </w:tblCellMar>
        </w:tblPrEx>
        <w:trPr>
          <w:gridAfter w:val="1"/>
          <w:wAfter w:w="17" w:type="dxa"/>
          <w:trHeight w:val="750" w:hRule="atLeast"/>
        </w:trPr>
        <w:tc>
          <w:tcPr>
            <w:tcW w:w="23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乡镇街道</w:t>
            </w:r>
          </w:p>
        </w:tc>
        <w:tc>
          <w:tcPr>
            <w:tcW w:w="290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市场单元编码</w:t>
            </w:r>
          </w:p>
        </w:tc>
        <w:tc>
          <w:tcPr>
            <w:tcW w:w="382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市场单元名称</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规划数量</w:t>
            </w:r>
          </w:p>
        </w:tc>
        <w:tc>
          <w:tcPr>
            <w:tcW w:w="28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间距标准</w:t>
            </w:r>
            <w:r>
              <w:rPr>
                <w:rFonts w:hint="eastAsia" w:ascii="宋体" w:hAnsi="宋体" w:eastAsia="宋体" w:cs="宋体"/>
                <w:b/>
                <w:bCs/>
                <w:kern w:val="0"/>
                <w:sz w:val="28"/>
                <w:szCs w:val="28"/>
              </w:rPr>
              <w:br w:type="textWrapping"/>
            </w:r>
            <w:r>
              <w:rPr>
                <w:rFonts w:hint="eastAsia" w:ascii="宋体" w:hAnsi="宋体" w:eastAsia="宋体" w:cs="宋体"/>
                <w:b/>
                <w:bCs/>
                <w:kern w:val="0"/>
                <w:sz w:val="28"/>
                <w:szCs w:val="28"/>
              </w:rPr>
              <w:t>（米）</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招远市罗峰街道</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37068500100111101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针织厂市场单元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37068500100111402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文化社区南市场单元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37068500100111403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文化社区北市场单元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37068500100111503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丁家庄子市场单元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37068500100210104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广场市场单元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37068500100211402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文化南社区市场单元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37068500100211406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健康社区市场单元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37068500100211501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北关西市场单元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37068500100211505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南关西村市场单元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37068500100212007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招远市人民医院市场单元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37068500100311401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晨钟社区市场单元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37068500100311402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阳光社区市场单元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37068500100311503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城西吕家市场单元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37068500100411104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玲珑轮胎市场单元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37068500100411401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水悦蓝山市场单元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37068500100411405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魁星西市场单元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37068500100411406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南炉市场单元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37068500100411502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赵家庵村市场单元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37068500100411503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大曹家村市场单元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37068500100511401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南都社区市场单元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西坞党村市场单元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城南张家村市场单元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37068500100610601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架旗山游乐园市场单元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37068500100612002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中矿龙湖大酒店市场单元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龙王庙下村市场单元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石门宋家市场单元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石门孙家市场单元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石门孟家市场单元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谢家庄村市场单元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石门郭家市场单元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西观村市场单元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东观村市场单元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石星河村市场单元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郭家埠村市场单元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刁儿埃村市场单元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孙家庄村市场单元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37068500100921603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南楼里头村市场单元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招远市泉山街道</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37068500200111401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花园社区市场单元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37068500200111403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花园南社区市场单元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37068500200111502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北关东村市场单元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37068500200210101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商业城市场单元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37068500200211404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温泉社区市场单元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37068500200211405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温泉东社区市场单元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37068500200211406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李家庄子市场单元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37068500200211502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南关东村市场单元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37068500200211503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东关村市场单元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37068500200311401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魁星东社区市场单元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37068500200311402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福溪居市场单元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37068500200311403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东晟社区市场单元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37068500200311404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泉山社区市场单元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37068500200411401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时代魁星市场单元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37068500200411502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小曹家村市场单元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37068500200411504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郭家庄子村市场单元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李家台子村市场单元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北坞党村市场单元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南坞党村市场单元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焦格庄村市场单元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阎家庄村市场单元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马庄河村市场单元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张石埠村市场单元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王家疃村市场单元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孙家疃村市场单元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37068500200721604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范家疃村市场单元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招远市梦芝街道</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张华孙家市场单元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张华张家市场单元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张华王家市场单元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张华刘家市场单元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十里铺市场单元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路家河市场单元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埃子赵家村市场单元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埃子王家村市场单元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城西路家村市场单元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山口温家村市场单元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后夼村市场单元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城西史家村市场单元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张家庵村市场单元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西宋村市场单元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石城夼村市场单元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黄土崖村市场单元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增甲沟村市场单元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城西王家市场单元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柳甲沟市场单元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37068500300711401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北岭市场单元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37068500300711402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龙馨居委会市场单元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37068500300711403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玺悦府居委会市场单元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37068500300811401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丽苑新城市场单元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37068500300811402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瓦里村市场单元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37068500300811403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锦绣社区南市场单元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37068500300811404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锦绣社区北市场单元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招远市温泉街道</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郑家村市场单元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姚格庄市场单元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横掌赵家市场单元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横掌曹家市场单元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37068500400311103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工业园区市场单元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横掌史家市场单元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37068500400410901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轮胎厂市场单元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芮里村市场单元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薛家村市场单元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37068500400511103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温家村厂房市场单元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横掌崔家市场单元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横掌徐家市场单元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37068500400611104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国大公司市场单元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郝家村市场单元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横掌秦家市场单元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37068500400711102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先锋机动车检测中心市场单元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37068500400712001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英诚医院市场单元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滕家村市场单元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37068500400810707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长途汽车站市场单元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玲珑基地市场单元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水岸华庭市场单元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37068500400811405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丽湖五期市场单元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37068500400811408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远东社区市场单元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37068500400811409</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紫藤花园市场单元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37068500400811504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前柳行市场单元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37068500400812006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丽湖学校市场单元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后柳行村市场单元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37068500400911104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小微集群市场单元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37068500400911401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和园丽景市场单元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37068500400911403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正和社区市场单元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37068500400911405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金桂苑市场单元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37068500400911502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埠后村市场单元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37068500401011402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玖都汇市场单元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37068500401011403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汤东沟市场单元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37068500401011405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金泉河社区市场单元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37068500401011501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朱家咀村市场单元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37068500401011504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冷家庄子市场单元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37068500401110103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招金广场市场单元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37068500401111402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御金府市场单元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37068500401111501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王家大沟市场单元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37068500401211401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单家街柳市场单元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37068500401211402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格林春天市场单元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37068500401211403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金凤社区市场单元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37068500401310102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金街银巷市场单元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37068500401311401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华西广场市场单元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37068500401311403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金晖社区市场单元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37068500401311405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龙泉花园市场单元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37068500401311504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杨家大沟市场单元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37068500401411401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格林小镇市场单元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37068500401411403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金晖东社区市场单元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37068500401412002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一中学校市场单元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37068500401511403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皮革城市场单元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北岔河村市场单元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西岔河市场单元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北五里市场单元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中五里市场单元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37068500401621603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南五里市场单元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招远市大秦家街道</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沙埠村市场单元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朱范村市场单元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庞家村市场单元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37068500500210102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大秦家市场单元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37068500500211204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公检法市场单元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37068500500211401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金地香格里拉市场单元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山子后村市场单元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37068500500310102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农商大世界市场单元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37068500500311401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春竹城市场单元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孙家村市场单元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楼里头村市场单元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卧虎庄市场单元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桥石头市场单元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苇都洼子市场单元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37068500500421605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东王家庄市场单元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37068500500421606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东于家市场单元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小杨家村市场单元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原家村市场单元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小转山堡市场单元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大转山堡市场单元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37068500500521605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苏格庄村市场单元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侯家村市场单元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小李家村市场单元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祁格庄村市场单元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杜家沟村市场单元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37068500500621605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兴旺庄村市场单元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闫家沟市场单元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滕家沟市场单元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榛家沟市场单元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青杨堡市场单元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堡子村市场单元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小秦家市场单元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老秦家市场单元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黑顶于家市场单元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陈家窑市场单元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苇都高家市场单元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苇都梁家市场单元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梧桐夼市场单元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大秦家村市场单元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小于家村市场单元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苇都解家市场单元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37068500501021604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苇都万家市场单元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招远市辛庄镇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辛庄镇东良村市场单元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辛庄镇湖汪村市场单元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37068500600121803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黄金职业学院市场单元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辛庄镇北潘家村市场单元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辛庄镇大宋家村市场单元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辛庄镇石虎孙村市场单元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辛庄镇马连沟村市场单元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37068500600221605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辛庄镇水盘村市场单元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37068500600221606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辛庄镇后康村市场单元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辛庄镇高家庄子市场单元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辛庄镇小宋家市场单元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辛庄镇东北村市场单元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辛庄镇东南村市场单元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辛庄镇北侯家市场单元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辛庄镇西南村市场单元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辛庄镇西北村市场单元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37068500600321608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辛庄镇孟格庄市场单元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辛庄镇前康村市场单元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辛庄镇界沟村市场单元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辛庄镇五截村市场单元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辛庄镇于家村市场单元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辛庄镇乔家村市场单元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辛庄镇院里村市场单元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37068500600421607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辛庄镇台子李家村市场单元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37068500600520705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辛庄镇高速服务区市场单元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辛庄镇北截村市场单元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辛庄镇北朱家村市场单元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辛庄镇白石夼市场单元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辛庄镇大刘家市场单元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37068500600521606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辛庄镇曹家村市场单元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辛庄镇北台上村市场单元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辛庄镇贾家庄子村市场单元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辛庄镇南王家市场单元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辛庄镇大董家市场单元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辛庄镇小董家市场单元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辛庄镇小东庄市场单元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辛庄镇桥头村市场单元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辛庄镇南潘家市场单元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37068500600621609</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辛庄镇邢家市场单元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辛庄镇磁口市场单元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辛庄镇宅上村市场单元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辛庄镇老店村市场单元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辛庄镇小庄家市场单元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辛庄镇纪家市场单元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辛庄镇朱宋市场单元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辛庄镇后沟子村市场单元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辛庄镇大涝洼村市场单元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辛庄镇小涝洼村市场单元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辛庄镇西汪家村市场单元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辛庄镇小西庄村市场单元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37068500600821607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辛庄镇大庄家市场单元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辛庄镇洼孙家市场单元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辛庄镇东沟李家市场单元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辛庄镇郭家市场单元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辛庄镇西上庄市场单元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辛庄镇徐家疃市场单元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辛庄镇东庄子市场单元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37068500601021605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辛庄镇西沟李家市场单元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辛庄镇丁家疃市场单元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辛庄镇西良村市场单元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辛庄镇海埠市场单元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辛庄镇马埠庄子市场单元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37068500601121605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辛庄镇洼曲家市场单元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招远市蚕庄镇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蚕庄镇河东王家市场单元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蚕庄镇河西王家市场单元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蚕庄镇山后杨家市场单元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蚕庄镇山后傅家市场单元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蚕庄镇王家沟子市场单元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蚕庄镇童家市场单元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蚕庄镇卧龙杨家市场单元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蚕庄镇诸流王家市场单元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37068500700221605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蚕庄镇诸流庞家市场单元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37068500700221606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蚕庄镇宋家庄子市场单元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蚕庄镇许家市场单元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蚕庄镇小诸流市场单元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蚕庄镇大诸流市场单元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蚕庄镇后孙家市场单元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蚕庄镇前孙家市场单元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37068500700321606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蚕庄镇河北刘家市场单元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蚕庄镇西崔家市场单元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蚕庄镇金河李家市场单元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蚕庄镇魏家沟市场单元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37068500700421605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蚕庄镇西原家市场单元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蚕庄镇老翅张家市场单元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蚕庄镇前庄子市场单元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蚕庄镇蚕庄村市场单元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37068500700521605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蚕庄镇西沟村市场单元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蚕庄镇山后白家市场单元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蚕庄镇李格庄市场单元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蚕庄镇东曲城市场单元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蚕庄镇洼子市场单元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蚕庄镇灵山盛家市场单元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蚕庄镇灵山冯家市场单元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蚕庄镇大韩家市场单元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蚕庄镇马埠王家市场单元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蚕庄镇马埠徐家市场单元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蚕庄镇马埠胡家市场单元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37068500700721607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蚕庄镇马埠陈家市场单元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蚕庄镇拉格庄市场单元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蚕庄镇丁家村市场单元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蚕庄镇柳杭市场单元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蚕庄镇坡石山市场单元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蚕庄镇西山王家市场单元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蚕庄镇灵山蒋家市场单元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蚕庄镇陆家市场单元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蚕庄镇南孙家市场单元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蚕庄镇囫囵河市场单元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蚕庄镇路格庄市场单元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37068500700921608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蚕庄镇香沟市场单元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蚕庄镇荆王家市场单元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蚕庄镇塔山黄家市场单元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蚕庄镇塔山原家市场单元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蚕庄镇小河宋家市场单元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37068500701021605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蚕庄镇小河刘家市场单元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招远市金岭镇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金岭镇山上赵家市场单元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金岭镇谢家沟市场单元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金岭镇侯家沟市场单元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金岭镇南冯家市场单元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金岭镇北冯家市场单元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金岭镇西梧桐夼市场单元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金岭镇赵书策市场单元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金岭镇大户陈家市场单元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金岭镇古宅市场单元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金岭镇上夼市场单元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金岭镇上华山市场单元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金岭镇中华山市场单元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金岭镇西华山市场单元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金岭镇于家埃市场单元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金岭镇草沟头市场单元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金岭镇员外沟市场单元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金岭镇小河头市场单元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金岭镇大河头市场单元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金岭镇前崔家市场单元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金岭镇后崔家市场单元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金岭镇台上市场单元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37068500800721606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金岭镇光山市场单元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金岭镇西店市场单元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金岭镇东店市场单元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金岭镇洼吕家市场单元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金岭镇河西于家市场单元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金岭镇西岭上市场单元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金岭镇吴家村市场单元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金岭镇西埠上村市场单元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金岭镇朱家市场单元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金岭镇唐家市场单元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金岭镇邹家村市场单元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金岭镇皂户王家市场单元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37068500801021605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金岭镇埠南市场单元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金岭镇南截村市场单元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金岭镇官庄村市场单元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金岭镇掉钟头村市场单元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金岭镇寨里村市场单元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金岭镇庵里村市场单元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金岭镇邵家市场单元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金岭镇中村市场单元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金岭镇北水口村市场单元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金岭镇贾家村市场单元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金岭镇东埠上村市场单元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金岭镇庄头刘家村市场单元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金岭镇黄泥沟村市场单元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37068500801321606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金岭镇原疃村市场单元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金岭镇原疃郭家村市场单元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金岭镇沟李家村市场单元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金岭镇山上马家市场单元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金岭镇上刘家市场单元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金岭镇山上汪家市场单元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金岭镇山上张家市场单元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37068500801521604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金岭镇山上姜家市场单元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招远市毕郭镇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毕郭镇官地洼市场单元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毕郭镇庙子夼市场单元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毕郭镇西秦家市场单元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毕郭镇东秦家市场单元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毕郭镇官地市场单元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毕郭镇南泊子市场单元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毕郭镇黑都泊市场单元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毕郭镇崤山后市场单元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毕郭镇犁儿埠市场单元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毕郭镇河南市场单元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毕郭镇小许家市场单元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毕郭镇埠上村市场单元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毕郭镇东万福庄村市场单元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毕郭镇西万福庄村市场单元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毕郭镇张家庄市场单元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毕郭镇交界洼市场单元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毕郭镇西霞坞市场单元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毕郭镇大霞坞市场单元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毕郭镇沙沟市场单元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毕郭镇岭上市场单元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毕郭镇西沟子市场单元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毕郭镇大曲庄市场单元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毕郭镇东杨格庄市场单元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毕郭镇西杨格庄市场单元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毕郭镇方家市场单元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毕郭镇程家洼市场单元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毕郭镇张家市场单元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37068500900821606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毕郭镇富裕庄市场单元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毕郭镇陈家庄市场单元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毕郭镇朱家庄市场单元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毕郭镇东寨里市场单元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37068500900921604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毕郭镇东城子市场单元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37068500900921605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毕郭镇西城子市场单元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毕郭镇驻地市场单元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毕郭镇南崔家市场单元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37068500901121602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毕郭镇吴家市场单元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37068500901121603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毕郭镇炮手庄市场单元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招远市玲珑镇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玲珑镇寨子市场单元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玲珑镇东疃补庄市场单元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玲珑镇西疃补庄市场单元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玲珑镇柳家市场单元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37068510000121606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玲珑镇东西庄头村市场单元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玲珑镇横掌姜家市场单元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玲珑镇沟上村市场单元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玲珑镇鲁格庄市场单元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玲珑镇前花园市场单元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玲珑镇后花园市场单元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玲珑镇盛家市场单元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37068510000321606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玲珑镇睦邻庄市场单元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玲珑镇潘家集市场单元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玲珑镇山前市场单元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玲珑镇欧家夼市场单元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玲珑镇高家疃市场单元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玲珑镇虎王庄市场单元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玲珑镇龙泉庄市场单元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玲珑镇吕格庄市场单元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37068510000521605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玲珑镇山前路家市场单元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玲珑镇台上村市场单元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玲珑镇高家村市场单元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玲珑镇大蒋家村市场单元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玲珑镇小蒋家村市场单元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玲珑镇官家河村市场单元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玲珑镇磨山夼路家村市场单元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玲珑镇玉泉庄市场单元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37068510000721604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玲珑镇罗山李家市场单元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招远市张星镇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张星镇馆前姜家市场单元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张星镇馆前刘家市场单元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张星镇馆前张家市场单元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张星镇北洼子市场单元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张星镇北崔家市场单元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张星镇圈里杨家市场单元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张星镇山西蔡家市场单元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张星镇山西栾家市场单元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张星镇山西黄家市场单元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张星镇山西孙家市场单元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张星镇山前季家市场单元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张星镇北石家市场单元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张星镇小高家市场单元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张星镇槐树庄市场单元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张星镇杜家北市场单元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张星镇杜家东市场单元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张星镇杜家西市场单元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张星镇地北头王家市场单元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张星镇抬头赵家市场单元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张星镇小刘家市场单元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张星镇虎龙斗市场单元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张星镇马格庄市场单元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张星镇庙头郭家市场单元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张星镇大李家市场单元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张星镇狗山李家市场单元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37068510100721606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张星镇大岚市场单元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张星镇北栾家河市场单元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张星镇丛家市场单元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张星镇段家洼市场单元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张星镇沟子村市场单元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张星镇高家村市场单元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张星镇欧家市场单元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37068510100921604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张星镇河埃市场单元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37068510100921605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张星镇孙家庄市场单元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37068510100921606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张星镇沙沟马家市场单元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张星镇曲家市场单元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张星镇小贾家市场单元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张星镇于家岚市场单元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张星镇丰家市场单元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张星镇张西市场单元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张星镇张东市场单元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张星镇圈子市场单元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张星镇小郝家市场单元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张星镇盖岭市场单元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张星镇小疃市场单元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张星镇盛家市场单元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张星镇大郝家市场单元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张星镇后栾家市场单元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张星镇东石家市场单元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张星镇黄庄子市场单元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张星镇前栾家市场单元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37068510101321606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张星镇坡子市场单元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张星镇石对头市场单元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7</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张星镇唐埠曲家市场单元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张星镇南于家庄子市场单元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张星镇前大里市场单元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张星镇后大里市场单元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张星镇北里庄市场单元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张星镇北马家市场单元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张星镇赵家市场单元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张星镇纪山纪家市场单元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37068510101521607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张星镇卧龙宋家市场单元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张星镇埠南张庄市场单元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张星镇苑家市场单元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张星镇北于家庄市场单元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37068510101621605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张星镇灵山郭家市场单元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张星镇英里市场单元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张星镇枣林姜家市场单元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张星镇羊家市场单元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张星镇上院市场单元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37068510101721606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张星镇下院市场单元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张星镇石棚市场单元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张星镇宅科市场单元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张星镇徐家村市场单元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张星镇口后韩家市场单元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张星镇口后王家市场单元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张星镇川里林家市场单元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张星镇界沟姜家市场单元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张星镇仓口陈家市场单元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37068510101921604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张星镇奶子场市场单元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37068510101921605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张星镇东北冲市场单元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37068510102021601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张星镇三姓庄市场单元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37068510102021602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张星镇西战家市场单元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37068510102021603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张星镇曹家庄市场单元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37068510102021604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张星镇栾家庄市场单元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37068510102021605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张星镇东战家市场单元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37068510102021606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张星镇新林家市场单元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招远市夏甸镇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夏甸镇潘家河市场单元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夏甸镇东建市场单元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夏甸镇青龙夼市场单元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夏甸镇官里庄市场单元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夏甸镇安沟市场单元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夏甸镇庙儿头市场单元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夏甸镇大丁家市场单元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夏甸镇小丁家市场单元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夏甸镇大罗家市场单元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夏甸镇小罗家市场单元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夏甸镇西曹家市场单元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夏甸镇巨岩市场单元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夏甸镇打油王家市场单元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夏甸镇山罩李家市场单元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夏甸镇上东庄市场单元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夏甸镇下东庄市场单元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夏甸镇大夼市场单元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夏甸镇泥湾子市场单元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夏甸镇小尹格庄市场单元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夏甸镇石咀市场单元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夏甸镇上旺庄市场单元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夏甸镇段家市场单元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夏甸镇小李家沟市场单元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37068510200721606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夏甸镇曹家洼市场单元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夏甸镇东上店市场单元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夏甸镇西芝下市场单元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夏甸镇西河北市场单元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夏甸镇东河北市场单元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夏甸镇西河南市场单元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37068510200821606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夏甸镇东河南市场单元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夏甸镇大庄子市场单元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夏甸镇东丁家市场单元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夏甸镇银山后市场单元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37068510200921604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夏甸镇河西庄子市场单元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37068510200921605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夏甸镇南张家庄市场单元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37068510200921606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夏甸镇老甲沟市场单元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夏甸镇杨家庄市场单元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夏甸镇臧家市场单元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夏甸镇庙前市场单元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夏甸镇山榛沟市场单元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夏甸镇下庄市场单元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夏甸镇上庄市场单元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夏甸镇高山洼市场单元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夏甸镇留仙庄市场单元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夏甸镇道北庄子市场单元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夏甸镇姜家窑市场单元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夏甸镇陡崖曹家市场单元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夏甸镇新旺庄市场单元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夏甸镇薄家市场单元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夏甸镇范家庄市场单元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夏甸镇大龙夼市场单元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夏甸镇勾下店市场单元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夏甸镇小院沟市场单元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夏甸镇新村市场单元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夏甸镇曹孟市场单元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夏甸镇新马家市场单元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夏甸镇下董家市场单元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夏甸镇禾木程家市场单元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夏甸镇前路家市场单元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夏甸镇后路家市场单元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夏甸镇时家市场单元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夏甸镇南邢家市场单元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37068510201621605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夏甸镇岚子东市场单元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37068510201621606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夏甸镇车元口市场单元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夏甸镇臧述庄市场单元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夏甸镇凰巢坡市场单元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夏甸镇南单家市场单元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夏甸镇乔家庄市场单元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夏甸镇白石顶市场单元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夏甸镇山前兰家市场单元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夏甸镇金城市场单元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夏甸镇英庄夼市场单元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夏甸镇王家屯市场单元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夏甸镇小路家市场单元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夏甸镇东宅科市场单元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37068510201821607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夏甸镇西宅科市场单元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招远市阜山镇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阜山镇六合庄市场单元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阜山镇金家沟市场单元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阜山镇古山屯市场单元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阜山镇凤凰夼市场单元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阜山镇峰山后市场单元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阜山镇刘家疃市场单元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阜山镇龙王沟市场单元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37068510300221605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阜山镇三合庄市场单元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阜山镇西涝泊市场单元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阜山镇老马思家市场单元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阜山镇西罗家市场单元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37068510300321605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阜山镇冯草洼市场单元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阜山镇牟疃市场单元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阜山镇闫家市场单元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阜山镇东罗家市场单元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阜山镇东杨家庄市场单元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阜山镇牟疃姜家市场单元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阜山镇下观堡市场单元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37068510300521605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阜山镇万家市场单元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阜山镇秦家沟市场单元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阜山镇观上陈家市场单元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阜山镇韩家市场单元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阜山镇高家岭市场单元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阜山镇大高家市场单元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阜山镇草店市场单元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阜山镇东李格庄市场单元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阜山镇大梁家市场单元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阜山镇小梁家市场单元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阜山镇东汪家市场单元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阜山镇东马家市场单元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阜山镇北院庄市场单元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阜山镇庙后吕家市场单元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37068510300921603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阜山镇南院庄市场单元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阜山镇东小庄市场单元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阜山镇张邴堡市场单元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阜山镇小涝泊市场单元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阜山镇东温家庄市场单元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37068510301021605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阜山镇大涝泊市场单元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阜山镇李家沟市场单元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阜山镇大疃市场单元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37068510301121604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阜山镇岚东市场单元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阜山镇百尺堡市场单元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阜山镇下刘家市场单元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阜山镇许家庄市场单元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阜山镇东上刘家市场单元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阜山镇梅家沟市场单元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37068510301221605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阜山镇杨家营市场单元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37068510301221606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阜山镇徐家沟市场单元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阜山镇于家夼市场单元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阜山镇西观阵庄市场单元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阜山镇东观阵庄市场单元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阜山镇栾家河市场单元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阜山镇周家庄子市场单元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阜山镇青山陈家市场单元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阜山镇青山王家市场单元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阜山镇青山李家市场单元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阜山镇潘王家市场单元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阜山镇下连庄市场单元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阜山镇潘家市场单元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阜山镇扒山蒋家市场单元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阜山镇史家市场单元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阜山镇水旺庄市场单元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阜山镇林家埃子市场单元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阜山镇扒山路家市场单元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阜山镇西大夼市场单元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阜山镇东大夼市场单元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37068510301721608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阜山镇乐土夼市场单元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阜山镇小周家市场单元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阜山镇栾家沟市场单元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阜山镇栾家店市场单元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阜山镇吕家市场单元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37068510301821605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阜山镇东李家庄市场单元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阜山镇九曲蒋家市场单元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37068510301921602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阜山镇九曲市场单元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9</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招远市齐山镇</w:t>
            </w: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齐山镇盛家沟市场单元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齐山镇松岚子市场单元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齐山镇状元头市场单元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37068510400121605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齐山镇小原家市场单元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齐山镇大原家市场单元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齐山镇西肇家沟市场单元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齐山镇南寨子市场单元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37068510400221604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齐山镇贾家沟市场单元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齐山镇东肇家沟市场单元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齐山镇铁夼市场单元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齐山镇雀头孙家市场单元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37068510400321604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齐山镇北周家市场单元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齐山镇北寨子市场单元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齐山镇车家坡市场单元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37068510400421603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齐山镇凤凰唐家市场单元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齐山镇南辛庄市场单元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齐山镇董家市场单元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齐山镇温家市场单元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齐山镇马家市场单元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齐山镇胡家埠市场单元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齐山镇中周家市场单元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齐山镇范家屋市场单元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齐山镇后疃市场单元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齐山镇道西市场单元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齐山镇道东市场单元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齐山镇南台市场单元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齐山镇大尹格庄市场单元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齐山镇曹家庄子市场单元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齐山镇庄家坡市场单元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37068510400921602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齐山镇玉甲市场单元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37068510401021601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齐山镇后仓市场单元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37068510401021602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齐山镇高家圈市场单元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37068510401021603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齐山镇前仓市场单元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37068510401021604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齐山镇柳家仓市场单元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37068510401021605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齐山镇肖家屯市场单元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37068510401021606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齐山镇路家屯市场单元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37068510401121601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齐山镇贺甲庄子市场单元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37068510401121602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齐山镇南李家庄市场单元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37068510401121603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齐山镇道后杨家市场单元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37068510401221601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齐山镇于夼市场单元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37068510401221602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齐山镇庙西市场单元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37068510401221603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齐山镇立甲疃市场单元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37068510401321601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齐山镇齐山店市场单元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37068510401321602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齐山镇小吴家市场单元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37068510401321603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齐山镇大吴家市场单元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37068510401421601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齐山镇东沟子市场单元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37068510401421602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齐山镇汪家院市场单元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37068510401421604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齐山镇张家院市场单元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37068510401421605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齐山镇孙家院市场单元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37068510401421606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齐山镇南孙家庄市场单元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37068510401521601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齐山镇朱疃市场单元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37068510401521602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齐山镇下林庄市场单元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37068510401521603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齐山镇向阳岭市场单元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37068510401521604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齐山镇岔道市场单元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37068510401621601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齐山镇大洼市场单元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37068510401621602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齐山镇王家夼市场单元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37068510401621603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齐山镇邹格庄市场单元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37068510401621604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齐山镇徐家庄市场单元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37068510401621605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齐山镇张秀家市场单元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37068510401621606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齐山镇河上沟市场单元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37068510401721601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齐山镇蒋家坡市场单元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37068510401721602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齐山镇南马驻埠市场单元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37068510401721603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齐山镇东马驻埠市场单元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37068510401721604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齐山镇北马驻埠市场单元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37068510401821601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齐山镇大泊子市场单元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37068510401821602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齐山镇小泊子市场单元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37068510401821603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齐山镇迟家沟市场单元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37068510401821604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0</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37068510401921601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齐山镇梁家市场单元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37068510401921602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齐山镇孙家夼市场单元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37068510401921603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齐山镇南柳家沟市场单元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37068510401921604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齐山镇苏家庄市场单元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r>
        <w:tblPrEx>
          <w:tblCellMar>
            <w:top w:w="0" w:type="dxa"/>
            <w:left w:w="108" w:type="dxa"/>
            <w:bottom w:w="0" w:type="dxa"/>
            <w:right w:w="108" w:type="dxa"/>
          </w:tblCellMar>
        </w:tblPrEx>
        <w:trPr>
          <w:gridAfter w:val="1"/>
          <w:wAfter w:w="17" w:type="dxa"/>
          <w:trHeight w:val="285" w:hRule="atLeast"/>
        </w:trPr>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9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37068510401921605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齐山镇半壁店市场单元</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80</w:t>
            </w:r>
          </w:p>
        </w:tc>
      </w:tr>
    </w:tbl>
    <w:p/>
    <w:p>
      <w:pPr>
        <w:spacing w:line="360" w:lineRule="auto"/>
        <w:rPr>
          <w:rFonts w:ascii="仿宋_GB2312" w:hAnsi="黑体" w:eastAsia="仿宋_GB2312" w:cs="黑体"/>
          <w:sz w:val="32"/>
          <w:szCs w:val="32"/>
        </w:rPr>
        <w:sectPr>
          <w:pgSz w:w="16838" w:h="11906" w:orient="landscape"/>
          <w:pgMar w:top="1797" w:right="1440" w:bottom="1588" w:left="1440" w:header="851" w:footer="992" w:gutter="0"/>
          <w:cols w:space="425" w:num="1"/>
          <w:docGrid w:type="lines" w:linePitch="312" w:charSpace="0"/>
        </w:sectPr>
      </w:pPr>
    </w:p>
    <w:p>
      <w:pPr>
        <w:shd w:val="clear" w:color="auto" w:fill="FFFFFF"/>
        <w:spacing w:line="590" w:lineRule="exact"/>
        <w:rPr>
          <w:rFonts w:ascii="黑体" w:hAnsi="黑体" w:eastAsia="黑体" w:cs="仿宋_GB2312"/>
          <w:color w:val="333333"/>
          <w:kern w:val="0"/>
          <w:sz w:val="32"/>
          <w:szCs w:val="32"/>
        </w:rPr>
      </w:pPr>
      <w:bookmarkStart w:id="6" w:name="_Hlk124044342"/>
      <w:r>
        <w:rPr>
          <w:rFonts w:hint="eastAsia" w:ascii="黑体" w:hAnsi="黑体" w:eastAsia="黑体" w:cs="仿宋_GB2312"/>
          <w:color w:val="333333"/>
          <w:kern w:val="0"/>
          <w:sz w:val="32"/>
          <w:szCs w:val="32"/>
        </w:rPr>
        <w:t>附件2：</w:t>
      </w:r>
    </w:p>
    <w:p>
      <w:pPr>
        <w:shd w:val="clear" w:color="auto" w:fill="FFFFFF"/>
        <w:spacing w:line="590" w:lineRule="exact"/>
        <w:rPr>
          <w:rFonts w:ascii="黑体" w:hAnsi="黑体" w:eastAsia="黑体" w:cs="仿宋_GB2312"/>
          <w:color w:val="333333"/>
          <w:kern w:val="0"/>
          <w:sz w:val="32"/>
          <w:szCs w:val="32"/>
        </w:rPr>
      </w:pPr>
    </w:p>
    <w:p>
      <w:pPr>
        <w:shd w:val="clear" w:color="auto" w:fill="FFFFFF"/>
        <w:spacing w:line="590" w:lineRule="exact"/>
        <w:jc w:val="center"/>
        <w:rPr>
          <w:rFonts w:ascii="方正小标宋简体" w:hAnsi="方正粗黑宋简体" w:eastAsia="方正小标宋简体" w:cs="仿宋_GB2312"/>
          <w:color w:val="333333"/>
          <w:kern w:val="0"/>
          <w:sz w:val="44"/>
          <w:szCs w:val="44"/>
        </w:rPr>
      </w:pPr>
      <w:r>
        <w:rPr>
          <w:rFonts w:hint="eastAsia" w:ascii="方正小标宋简体" w:hAnsi="方正粗黑宋简体" w:eastAsia="方正小标宋简体" w:cs="仿宋_GB2312"/>
          <w:color w:val="333333"/>
          <w:kern w:val="0"/>
          <w:sz w:val="44"/>
          <w:szCs w:val="44"/>
        </w:rPr>
        <w:t>招远市烟草专卖局烟草制品</w:t>
      </w:r>
    </w:p>
    <w:p>
      <w:pPr>
        <w:shd w:val="clear" w:color="auto" w:fill="FFFFFF"/>
        <w:spacing w:line="590" w:lineRule="exact"/>
        <w:jc w:val="center"/>
        <w:rPr>
          <w:rFonts w:ascii="方正小标宋简体" w:hAnsi="方正粗黑宋简体" w:eastAsia="方正小标宋简体" w:cs="仿宋_GB2312"/>
          <w:color w:val="333333"/>
          <w:kern w:val="0"/>
          <w:sz w:val="44"/>
          <w:szCs w:val="44"/>
        </w:rPr>
      </w:pPr>
      <w:r>
        <w:rPr>
          <w:rFonts w:hint="eastAsia" w:ascii="方正小标宋简体" w:hAnsi="方正粗黑宋简体" w:eastAsia="方正小标宋简体" w:cs="仿宋_GB2312"/>
          <w:color w:val="333333"/>
          <w:kern w:val="0"/>
          <w:sz w:val="44"/>
          <w:szCs w:val="44"/>
        </w:rPr>
        <w:t>零售点间距测量规则及标准</w:t>
      </w:r>
    </w:p>
    <w:p>
      <w:pPr>
        <w:widowControl/>
        <w:spacing w:before="86" w:line="257" w:lineRule="atLeast"/>
        <w:ind w:firstLine="640"/>
        <w:jc w:val="left"/>
        <w:rPr>
          <w:rFonts w:ascii="仿宋_GB2312" w:hAnsi="微软雅黑" w:eastAsia="仿宋_GB2312" w:cs="仿宋_GB2312"/>
          <w:color w:val="333333"/>
          <w:kern w:val="0"/>
          <w:sz w:val="32"/>
          <w:szCs w:val="32"/>
        </w:rPr>
      </w:pPr>
    </w:p>
    <w:p>
      <w:pPr>
        <w:widowControl/>
        <w:spacing w:before="86" w:line="560" w:lineRule="exact"/>
        <w:ind w:firstLine="640" w:firstLineChars="200"/>
        <w:jc w:val="left"/>
        <w:rPr>
          <w:rFonts w:ascii="黑体" w:hAnsi="黑体" w:eastAsia="黑体" w:cs="仿宋_GB2312"/>
          <w:color w:val="000000"/>
          <w:sz w:val="32"/>
          <w:szCs w:val="32"/>
        </w:rPr>
      </w:pPr>
      <w:r>
        <w:rPr>
          <w:rFonts w:hint="eastAsia" w:ascii="黑体" w:hAnsi="黑体" w:eastAsia="黑体" w:cs="仿宋_GB2312"/>
          <w:color w:val="000000"/>
          <w:sz w:val="32"/>
          <w:szCs w:val="32"/>
        </w:rPr>
        <w:t>一、测量规则</w:t>
      </w:r>
    </w:p>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（一）应当使用符合国家标准的测量工具。</w:t>
      </w:r>
    </w:p>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实地测量时，由两名及以上烟草核查人员在申请人或代理人现场见证下完成。最后由申请人或代理人对测量工具、测量过程、测量结果进行书面签字确认。申请人或代理人拒绝签字的，由核查人员在实地核查记录上注明情况。测量过程应当全过程记录，包括但不限于文字记录和音像记录。</w:t>
      </w:r>
    </w:p>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（三）申请人、代理人或利害关系人对间距的测量结果有异议的，可以申请重新实地测量一次，</w:t>
      </w:r>
      <w:r>
        <w:rPr>
          <w:rFonts w:hint="eastAsia" w:ascii="仿宋_GB2312" w:hAnsi="仿宋" w:eastAsia="仿宋_GB2312" w:cs="仿宋_GB2312"/>
          <w:sz w:val="32"/>
          <w:szCs w:val="32"/>
        </w:rPr>
        <w:t>以最后一次测量的结果为准</w:t>
      </w:r>
      <w:r>
        <w:rPr>
          <w:rFonts w:hint="eastAsia" w:ascii="仿宋_GB2312" w:hAnsi="仿宋" w:eastAsia="仿宋_GB2312" w:cs="仿宋_GB2312"/>
          <w:color w:val="000000"/>
          <w:sz w:val="32"/>
          <w:szCs w:val="32"/>
        </w:rPr>
        <w:t>。测量时，申请人或代理人、利害关系人和烟草核查人员须同时在场。</w:t>
      </w:r>
    </w:p>
    <w:p>
      <w:pPr>
        <w:widowControl/>
        <w:spacing w:before="86" w:line="560" w:lineRule="exact"/>
        <w:ind w:firstLine="640" w:firstLineChars="200"/>
        <w:jc w:val="left"/>
        <w:rPr>
          <w:rFonts w:ascii="仿宋_GB2312" w:hAnsi="仿宋" w:eastAsia="仿宋_GB2312" w:cs="仿宋_GB2312"/>
          <w:color w:val="333333"/>
          <w:kern w:val="0"/>
          <w:sz w:val="32"/>
          <w:szCs w:val="32"/>
        </w:rPr>
      </w:pPr>
      <w:r>
        <w:rPr>
          <w:rFonts w:hint="eastAsia" w:ascii="仿宋_GB2312" w:hAnsi="仿宋" w:eastAsia="仿宋_GB2312" w:cs="仿宋_GB2312"/>
          <w:color w:val="000000"/>
          <w:sz w:val="32"/>
          <w:szCs w:val="32"/>
        </w:rPr>
        <w:t>（四）申请点与学校、幼儿园、最近零</w:t>
      </w:r>
      <w:r>
        <w:rPr>
          <w:rFonts w:hint="eastAsia" w:ascii="仿宋_GB2312" w:hAnsi="仿宋" w:eastAsia="仿宋_GB2312" w:cs="仿宋_GB2312"/>
          <w:color w:val="333333"/>
          <w:kern w:val="0"/>
          <w:sz w:val="32"/>
          <w:szCs w:val="32"/>
        </w:rPr>
        <w:t>售点间距测量应当在符合道路交通安全有关规定的前提下，按照行走的最短路径进行测量。</w:t>
      </w:r>
    </w:p>
    <w:p>
      <w:pPr>
        <w:widowControl/>
        <w:spacing w:before="86" w:line="560" w:lineRule="exact"/>
        <w:ind w:firstLine="640" w:firstLineChars="200"/>
        <w:jc w:val="left"/>
        <w:rPr>
          <w:rFonts w:ascii="仿宋_GB2312" w:hAnsi="仿宋" w:eastAsia="仿宋_GB2312" w:cs="仿宋_GB2312"/>
          <w:color w:val="333333"/>
          <w:kern w:val="0"/>
          <w:sz w:val="32"/>
          <w:szCs w:val="32"/>
        </w:rPr>
      </w:pPr>
      <w:r>
        <w:rPr>
          <w:rFonts w:hint="eastAsia" w:ascii="仿宋_GB2312" w:hAnsi="仿宋" w:eastAsia="仿宋_GB2312" w:cs="仿宋_GB2312"/>
          <w:color w:val="333333"/>
          <w:kern w:val="0"/>
          <w:sz w:val="32"/>
          <w:szCs w:val="32"/>
        </w:rPr>
        <w:t>（五）政府有关部门在街道或道路中设置的行人隔离带（栏）、绿化带等视为障碍物，测量时应当依法绕行。</w:t>
      </w:r>
    </w:p>
    <w:p>
      <w:pPr>
        <w:widowControl/>
        <w:spacing w:before="86" w:line="560" w:lineRule="exact"/>
        <w:ind w:firstLine="640" w:firstLineChars="200"/>
        <w:jc w:val="left"/>
        <w:rPr>
          <w:rFonts w:ascii="仿宋_GB2312" w:hAnsi="仿宋" w:eastAsia="仿宋_GB2312" w:cs="仿宋_GB2312"/>
          <w:color w:val="333333"/>
          <w:kern w:val="0"/>
          <w:sz w:val="32"/>
          <w:szCs w:val="32"/>
        </w:rPr>
      </w:pPr>
      <w:r>
        <w:rPr>
          <w:rFonts w:hint="eastAsia" w:ascii="仿宋_GB2312" w:hAnsi="仿宋" w:eastAsia="仿宋_GB2312" w:cs="仿宋_GB2312"/>
          <w:color w:val="333333"/>
          <w:kern w:val="0"/>
          <w:sz w:val="32"/>
          <w:szCs w:val="32"/>
        </w:rPr>
        <w:t>（六）在通行道路上临时设置的安全设施，临时放置的建筑材料、物品、车辆等，擅自设立、建造的建筑物、构筑物或其他物体等，以及因施工影响通行的围挡设施不视为障碍物。</w:t>
      </w:r>
    </w:p>
    <w:p>
      <w:pPr>
        <w:widowControl/>
        <w:spacing w:before="86" w:line="560" w:lineRule="exact"/>
        <w:ind w:firstLine="640" w:firstLineChars="200"/>
        <w:jc w:val="left"/>
        <w:rPr>
          <w:rFonts w:ascii="黑体" w:hAnsi="黑体" w:eastAsia="黑体" w:cs="仿宋_GB2312"/>
          <w:color w:val="000000"/>
          <w:sz w:val="32"/>
          <w:szCs w:val="32"/>
        </w:rPr>
      </w:pPr>
      <w:r>
        <w:rPr>
          <w:rFonts w:hint="eastAsia" w:ascii="黑体" w:hAnsi="黑体" w:eastAsia="黑体" w:cs="仿宋_GB2312"/>
          <w:color w:val="000000"/>
          <w:sz w:val="32"/>
          <w:szCs w:val="32"/>
        </w:rPr>
        <w:t>二、测量标准</w:t>
      </w:r>
    </w:p>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（一）零售点的测量起始点为消费者正常出入口中间点，有多个出入口的，选择零售点间距离最短的出入口中间点作为起始点。</w:t>
      </w:r>
    </w:p>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中小学校、幼儿园的测量起始点为上述学校进出通道口中间点，包括主校门、侧门等，不包括消防通道、应急通道、教职工通道等。有多个进出通道口的，选择距离零售点最短的进出通道口中间点作为测量起始点。</w:t>
      </w:r>
    </w:p>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（三）常见零售点间距测量类型：</w:t>
      </w:r>
    </w:p>
    <w:bookmarkEnd w:id="6"/>
    <w:p>
      <w:pPr>
        <w:widowControl/>
        <w:spacing w:before="86" w:line="56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1.申请点与最近零售点经营场所同侧无障碍物的,测量最短直线距离。（如图1所示）</w:t>
      </w:r>
    </w:p>
    <w:p>
      <w:pPr>
        <w:widowControl/>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object>
          <v:shape id="_x0000_i1025" o:spt="75" type="#_x0000_t75" style="height:190.3pt;width:414.7pt;" o:ole="t" filled="f" o:preferrelative="t" stroked="f" coordsize="21600,21600">
            <v:path/>
            <v:fill on="f" focussize="0,0"/>
            <v:stroke on="f" joinstyle="miter"/>
            <v:imagedata r:id="rId6" o:title=""/>
            <o:lock v:ext="edit" aspectratio="f"/>
            <w10:wrap type="none"/>
            <w10:anchorlock/>
          </v:shape>
          <o:OLEObject Type="Embed" ProgID="Visio.Drawing.11" ShapeID="_x0000_i1025" DrawAspect="Content" ObjectID="_1468075725">
            <o:LockedField>false</o:LockedField>
          </o:OLEObject>
        </w:object>
      </w:r>
    </w:p>
    <w:p>
      <w:pPr>
        <w:widowControl/>
        <w:spacing w:before="86" w:line="257" w:lineRule="atLeast"/>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(图1</w:t>
      </w:r>
      <w:r>
        <w:rPr>
          <w:rFonts w:ascii="仿宋_GB2312" w:hAnsi="仿宋" w:eastAsia="仿宋_GB2312" w:cs="仿宋_GB2312"/>
          <w:color w:val="000000"/>
          <w:sz w:val="32"/>
          <w:szCs w:val="32"/>
        </w:rPr>
        <w:t>)</w:t>
      </w:r>
    </w:p>
    <w:p>
      <w:pPr>
        <w:widowControl/>
        <w:spacing w:before="86" w:line="560" w:lineRule="exact"/>
        <w:ind w:firstLine="641"/>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申请点与最近零售点的经营场所同侧存在障碍物的，测量按直角分段绕过障碍物测量，分段距离之和即为申请点与最近零售点经营场所间的距离。（如图2所示）</w:t>
      </w:r>
    </w:p>
    <w:p>
      <w:pPr>
        <w:widowControl/>
        <w:spacing w:before="86" w:line="257" w:lineRule="atLeast"/>
        <w:jc w:val="left"/>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object>
          <v:shape id="_x0000_i1026" o:spt="75" type="#_x0000_t75" style="height:209.45pt;width:414.7pt;" o:ole="t" filled="f" o:preferrelative="t" stroked="f" coordsize="21600,21600">
            <v:path/>
            <v:fill on="f" focussize="0,0"/>
            <v:stroke on="f" joinstyle="miter"/>
            <v:imagedata r:id="rId7" o:title=""/>
            <o:lock v:ext="edit" aspectratio="f"/>
            <w10:wrap type="none"/>
            <w10:anchorlock/>
          </v:shape>
          <o:OLEObject Type="Embed" ProgID="Visio.Drawing.11" ShapeID="_x0000_i1026" DrawAspect="Content" ObjectID="_1468075726">
            <o:LockedField>false</o:LockedField>
          </o:OLEObject>
        </w:object>
      </w:r>
    </w:p>
    <w:p>
      <w:pPr>
        <w:widowControl/>
        <w:spacing w:before="86" w:line="257" w:lineRule="atLeast"/>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(图2)</w:t>
      </w:r>
    </w:p>
    <w:p>
      <w:pPr>
        <w:spacing w:line="560" w:lineRule="exact"/>
        <w:ind w:firstLine="707" w:firstLineChars="221"/>
        <w:rPr>
          <w:rFonts w:ascii="仿宋_GB2312" w:hAnsi="仿宋" w:eastAsia="仿宋_GB2312" w:cs="仿宋_GB2312"/>
          <w:color w:val="000000"/>
          <w:sz w:val="32"/>
          <w:szCs w:val="32"/>
        </w:rPr>
      </w:pPr>
      <w:r>
        <w:rPr>
          <w:rFonts w:ascii="仿宋_GB2312" w:hAnsi="仿宋" w:eastAsia="仿宋_GB2312" w:cs="仿宋_GB2312"/>
          <w:color w:val="000000"/>
          <w:sz w:val="32"/>
          <w:szCs w:val="32"/>
        </w:rPr>
        <w:pict>
          <v:shape id="_x0000_s1026" o:spid="_x0000_s1026" o:spt="75" type="#_x0000_t75" style="position:absolute;left:0pt;margin-left:-13.3pt;margin-top:122.9pt;height:165.95pt;width:441.75pt;mso-wrap-distance-bottom:0pt;mso-wrap-distance-top:0pt;z-index:251659264;mso-width-relative:page;mso-height-relative:page;" o:ole="t" filled="f" o:preferrelative="t" stroked="f" coordsize="21600,21600">
            <v:path/>
            <v:fill on="f" focussize="0,0"/>
            <v:stroke on="f" joinstyle="miter"/>
            <v:imagedata r:id="rId8" o:title=""/>
            <o:lock v:ext="edit" aspectratio="f"/>
            <w10:wrap type="topAndBottom"/>
          </v:shape>
          <o:OLEObject Type="Embed" ProgID="Visio.Drawing.11" ShapeID="_x0000_s1026" DrawAspect="Content" ObjectID="_1468075727">
            <o:LockedField>false</o:LockedField>
          </o:OLEObject>
        </w:pict>
      </w:r>
      <w:r>
        <w:rPr>
          <w:rFonts w:hint="eastAsia" w:ascii="仿宋_GB2312" w:hAnsi="仿宋" w:eastAsia="仿宋_GB2312" w:cs="仿宋_GB2312"/>
          <w:color w:val="000000"/>
          <w:sz w:val="32"/>
          <w:szCs w:val="32"/>
        </w:rPr>
        <w:t>3</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申请点与最近零售点的经营场所位于道路两侧，道路无隔离带和斑马线情形的，测量按直角分段测量，分段距离之和即为申请点与最近零售点经营场所间的距离。（如图3所示）</w:t>
      </w:r>
    </w:p>
    <w:p>
      <w:pPr>
        <w:spacing w:line="590" w:lineRule="exact"/>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（图3）</w:t>
      </w:r>
    </w:p>
    <w:p>
      <w:pPr>
        <w:spacing w:line="560" w:lineRule="exact"/>
        <w:ind w:firstLine="707" w:firstLineChars="221"/>
        <w:rPr>
          <w:rFonts w:ascii="仿宋_GB2312" w:hAnsi="仿宋" w:eastAsia="仿宋_GB2312" w:cs="仿宋_GB2312"/>
          <w:color w:val="000000"/>
          <w:sz w:val="32"/>
          <w:szCs w:val="32"/>
        </w:rPr>
      </w:pPr>
      <w:r>
        <w:rPr>
          <w:rFonts w:ascii="仿宋_GB2312" w:hAnsi="仿宋" w:eastAsia="仿宋_GB2312" w:cs="仿宋_GB2312"/>
          <w:color w:val="000000"/>
          <w:sz w:val="32"/>
          <w:szCs w:val="32"/>
        </w:rPr>
        <w:pict>
          <v:shape id="_x0000_s1027" o:spid="_x0000_s1027" o:spt="75" type="#_x0000_t75" style="position:absolute;left:0pt;margin-left:0.1pt;margin-top:123.3pt;height:174.25pt;width:441.75pt;mso-wrap-distance-bottom:0pt;mso-wrap-distance-top:0pt;z-index:251660288;mso-width-relative:page;mso-height-relative:page;" o:ole="t" filled="f" o:preferrelative="t" stroked="f" coordsize="21600,21600">
            <v:path/>
            <v:fill on="f" focussize="0,0"/>
            <v:stroke on="f" joinstyle="miter"/>
            <v:imagedata r:id="rId9" o:title=""/>
            <o:lock v:ext="edit" aspectratio="f"/>
            <w10:wrap type="topAndBottom"/>
          </v:shape>
          <o:OLEObject Type="Embed" ProgID="Visio.Drawing.11" ShapeID="_x0000_s1027" DrawAspect="Content" ObjectID="_1468075728">
            <o:LockedField>false</o:LockedField>
          </o:OLEObject>
        </w:pict>
      </w:r>
      <w:r>
        <w:rPr>
          <w:rFonts w:hint="eastAsia" w:ascii="仿宋_GB2312" w:hAnsi="仿宋" w:eastAsia="仿宋_GB2312" w:cs="仿宋_GB2312"/>
          <w:color w:val="000000"/>
          <w:sz w:val="32"/>
          <w:szCs w:val="32"/>
        </w:rPr>
        <w:t>4.申请点与最近零售点的经营场所位于道路两侧的，道路有隔离带但无斑马线情形的，选取最近障碍物断口开处，测量按直角分段测量，分段距离之和即为申请点与最近零售点经营场所间的距离。（如图4所示）</w:t>
      </w:r>
    </w:p>
    <w:p>
      <w:pPr>
        <w:spacing w:line="590" w:lineRule="exact"/>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（图4）</w:t>
      </w:r>
    </w:p>
    <w:p>
      <w:pPr>
        <w:spacing w:line="560" w:lineRule="exact"/>
        <w:ind w:firstLine="640" w:firstLineChars="200"/>
        <w:contextualSpacing/>
        <w:rPr>
          <w:rFonts w:ascii="仿宋" w:hAnsi="仿宋" w:eastAsia="仿宋" w:cs="仿宋_GB2312"/>
          <w:sz w:val="32"/>
          <w:szCs w:val="32"/>
        </w:rPr>
      </w:pPr>
      <w:r>
        <w:rPr>
          <w:rFonts w:ascii="仿宋_GB2312" w:hAnsi="仿宋" w:eastAsia="仿宋_GB2312" w:cs="仿宋_GB2312"/>
          <w:color w:val="000000"/>
          <w:sz w:val="32"/>
          <w:szCs w:val="32"/>
        </w:rPr>
        <w:pict>
          <v:shape id="_x0000_s1028" o:spid="_x0000_s1028" o:spt="75" type="#_x0000_t75" style="position:absolute;left:0pt;margin-left:-8.55pt;margin-top:128.4pt;height:174.3pt;width:441.75pt;mso-wrap-distance-bottom:0pt;mso-wrap-distance-top:0pt;z-index:251662336;mso-width-relative:page;mso-height-relative:page;" o:ole="t" filled="f" o:preferrelative="t" stroked="f" coordsize="21600,21600">
            <v:path/>
            <v:fill on="f" focussize="0,0"/>
            <v:stroke on="f" joinstyle="miter"/>
            <v:imagedata r:id="rId10" o:title=""/>
            <o:lock v:ext="edit" aspectratio="f"/>
            <w10:wrap type="topAndBottom"/>
          </v:shape>
          <o:OLEObject Type="Embed" ProgID="Visio.Drawing.11" ShapeID="_x0000_s1028" DrawAspect="Content" ObjectID="_1468075729">
            <o:LockedField>false</o:LockedField>
          </o:OLEObject>
        </w:pict>
      </w:r>
      <w:r>
        <w:rPr>
          <w:rFonts w:hint="eastAsia" w:ascii="仿宋_GB2312" w:hAnsi="仿宋" w:eastAsia="仿宋_GB2312" w:cs="仿宋_GB2312"/>
          <w:color w:val="000000"/>
          <w:sz w:val="32"/>
          <w:szCs w:val="32"/>
        </w:rPr>
        <w:t>5</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 xml:space="preserve">申请点与最近零售点的经营场所位于道路两侧的，道路上有隔离带且有斑马线的，从隔离带最近开口处选取最近斑马线，按直角分段测量，分段距离之和即为申请点与最近零售点经营场所间的距离。（如图5所示） </w:t>
      </w:r>
      <w:r>
        <w:rPr>
          <w:rFonts w:hint="eastAsia" w:ascii="仿宋" w:hAnsi="仿宋" w:eastAsia="仿宋" w:cs="宋体"/>
          <w:color w:val="FF0000"/>
          <w:sz w:val="32"/>
          <w:szCs w:val="32"/>
          <w:lang w:bidi="ug-CN"/>
        </w:rPr>
        <w:t xml:space="preserve"> </w:t>
      </w:r>
    </w:p>
    <w:p>
      <w:pPr>
        <w:spacing w:line="560" w:lineRule="exact"/>
        <w:contextualSpacing/>
        <w:jc w:val="center"/>
        <w:rPr>
          <w:rFonts w:ascii="仿宋" w:hAnsi="仿宋" w:eastAsia="仿宋" w:cs="仿宋_GB2312"/>
          <w:sz w:val="32"/>
          <w:szCs w:val="32"/>
        </w:rPr>
      </w:pPr>
      <w:r>
        <w:rPr>
          <w:rFonts w:hint="eastAsia" w:ascii="仿宋_GB2312" w:hAnsi="仿宋" w:eastAsia="仿宋_GB2312" w:cs="仿宋_GB2312"/>
          <w:color w:val="000000"/>
          <w:sz w:val="32"/>
          <w:szCs w:val="32"/>
        </w:rPr>
        <w:t>（图5）</w:t>
      </w:r>
    </w:p>
    <w:p>
      <w:pPr>
        <w:widowControl/>
        <w:spacing w:before="86" w:line="560" w:lineRule="exact"/>
        <w:ind w:firstLine="641"/>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6</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申请点与最近零售点的经营场所之间道路存在有转角的，按直角分段测量，分段距离之和即为申请点与最近零售点经营场所间的距离。（如图6所示）</w:t>
      </w:r>
    </w:p>
    <w:p>
      <w:r>
        <w:object>
          <v:shape id="_x0000_i1027" o:spt="75" type="#_x0000_t75" style="height:203.85pt;width:414.7pt;" o:ole="t" filled="f" o:preferrelative="t" stroked="f" coordsize="21600,21600">
            <v:path/>
            <v:fill on="f" focussize="0,0"/>
            <v:stroke on="f" joinstyle="miter"/>
            <v:imagedata r:id="rId11" o:title=""/>
            <o:lock v:ext="edit" aspectratio="f"/>
            <w10:wrap type="none"/>
            <w10:anchorlock/>
          </v:shape>
          <o:OLEObject Type="Embed" ProgID="Visio.Drawing.11" ShapeID="_x0000_i1027" DrawAspect="Content" ObjectID="_1468075730">
            <o:LockedField>false</o:LockedField>
          </o:OLEObject>
        </w:object>
      </w:r>
    </w:p>
    <w:p>
      <w:pPr>
        <w:spacing w:line="590" w:lineRule="exact"/>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（图6）</w:t>
      </w:r>
    </w:p>
    <w:p>
      <w:pPr>
        <w:spacing w:line="560" w:lineRule="exact"/>
        <w:ind w:firstLine="640" w:firstLineChars="200"/>
        <w:contextualSpacing/>
        <w:rPr>
          <w:rFonts w:ascii="仿宋" w:hAnsi="仿宋" w:eastAsia="仿宋" w:cs="仿宋_GB2312"/>
          <w:sz w:val="32"/>
          <w:szCs w:val="32"/>
        </w:rPr>
      </w:pPr>
      <w:r>
        <w:rPr>
          <w:rFonts w:ascii="仿宋_GB2312" w:hAnsi="仿宋" w:eastAsia="仿宋_GB2312" w:cs="仿宋_GB2312"/>
          <w:color w:val="000000"/>
          <w:sz w:val="32"/>
          <w:szCs w:val="32"/>
        </w:rPr>
        <w:pict>
          <v:shape id="_x0000_s1029" o:spid="_x0000_s1029" o:spt="75" type="#_x0000_t75" style="position:absolute;left:0pt;margin-left:-18.8pt;margin-top:70.05pt;height:168.05pt;width:449.75pt;mso-wrap-distance-bottom:0pt;mso-wrap-distance-top:0pt;z-index:251661312;mso-width-relative:page;mso-height-relative:page;" o:ole="t" filled="f" o:preferrelative="t" stroked="f" coordsize="21600,21600">
            <v:path/>
            <v:fill on="f" focussize="0,0"/>
            <v:stroke on="f" joinstyle="miter"/>
            <v:imagedata r:id="rId12" o:title=""/>
            <o:lock v:ext="edit" aspectratio="f"/>
            <w10:wrap type="topAndBottom"/>
          </v:shape>
          <o:OLEObject Type="Embed" ProgID="Visio.Drawing.11" ShapeID="_x0000_s1029" DrawAspect="Content" ObjectID="_1468075731">
            <o:LockedField>false</o:LockedField>
          </o:OLEObject>
        </w:pict>
      </w:r>
      <w:r>
        <w:rPr>
          <w:rFonts w:hint="eastAsia" w:ascii="仿宋_GB2312" w:hAnsi="仿宋" w:eastAsia="仿宋_GB2312" w:cs="仿宋_GB2312"/>
          <w:color w:val="000000"/>
          <w:sz w:val="32"/>
          <w:szCs w:val="32"/>
        </w:rPr>
        <w:t>7</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 xml:space="preserve">申请点出入口较多，取与最近零售点经营场所最短的出入口进行测量。（如图7所示） </w:t>
      </w:r>
      <w:r>
        <w:rPr>
          <w:rFonts w:hint="eastAsia" w:ascii="仿宋" w:hAnsi="仿宋" w:eastAsia="仿宋" w:cs="宋体"/>
          <w:color w:val="FF0000"/>
          <w:sz w:val="32"/>
          <w:szCs w:val="32"/>
          <w:lang w:bidi="ug-CN"/>
        </w:rPr>
        <w:t xml:space="preserve"> </w:t>
      </w:r>
    </w:p>
    <w:p>
      <w:pPr>
        <w:spacing w:line="590" w:lineRule="exact"/>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（图7）</w:t>
      </w:r>
    </w:p>
    <w:p>
      <w:pPr>
        <w:spacing w:line="560" w:lineRule="exact"/>
        <w:ind w:firstLine="640" w:firstLineChars="200"/>
        <w:contextualSpacing/>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8</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申请点与最近零售点的经营场所之间有台阶、楼梯的，以其平面坡长进行测量（如图8所示）；有电梯的，以层高进行测量；楼梯与电梯并存的，以最短距离的为准。</w:t>
      </w:r>
    </w:p>
    <w:p/>
    <w:p>
      <w:pPr>
        <w:contextualSpacing/>
        <w:jc w:val="center"/>
      </w:pPr>
      <w:r>
        <w:object>
          <v:shape id="_x0000_i1028" o:spt="75" type="#_x0000_t75" style="height:178.6pt;width:415.65pt;" o:ole="t" filled="f" o:preferrelative="t" stroked="f" coordsize="21600,21600">
            <v:path/>
            <v:fill on="f" focussize="0,0"/>
            <v:stroke on="f" joinstyle="miter"/>
            <v:imagedata r:id="rId13" o:title=""/>
            <o:lock v:ext="edit" aspectratio="f"/>
            <w10:wrap type="none"/>
            <w10:anchorlock/>
          </v:shape>
          <o:OLEObject Type="Embed" ProgID="Visio.Drawing.11" ShapeID="_x0000_i1028" DrawAspect="Content" ObjectID="_1468075732">
            <o:LockedField>false</o:LockedField>
          </o:OLEObject>
        </w:object>
      </w:r>
    </w:p>
    <w:p>
      <w:pPr>
        <w:contextualSpacing/>
        <w:jc w:val="center"/>
        <w:rPr>
          <w:rFonts w:ascii="仿宋_GB2312" w:hAnsi="仿宋" w:eastAsia="仿宋_GB2312" w:cs="仿宋_GB2312"/>
          <w:color w:val="000000"/>
          <w:sz w:val="32"/>
          <w:szCs w:val="32"/>
        </w:rPr>
      </w:pPr>
      <w:bookmarkStart w:id="7" w:name="_GoBack"/>
      <w:bookmarkEnd w:id="7"/>
      <w:r>
        <w:rPr>
          <w:rFonts w:hint="eastAsia" w:ascii="仿宋_GB2312" w:hAnsi="仿宋" w:eastAsia="仿宋_GB2312" w:cs="仿宋_GB2312"/>
          <w:color w:val="000000"/>
          <w:sz w:val="32"/>
          <w:szCs w:val="32"/>
        </w:rPr>
        <w:t>（图8）</w:t>
      </w:r>
    </w:p>
    <w:p>
      <w:pPr>
        <w:spacing w:line="560" w:lineRule="exact"/>
        <w:ind w:firstLine="640" w:firstLineChars="200"/>
        <w:contextualSpacing/>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9</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各类市场、封闭式小区内、广场等区域零售点间距测量方法均以原设计道路、人行通道行人正常安全行走的最短距离进行测量。</w:t>
      </w:r>
    </w:p>
    <w:p>
      <w:pPr>
        <w:spacing w:line="560" w:lineRule="exact"/>
        <w:ind w:firstLine="640" w:firstLineChars="200"/>
        <w:contextualSpacing/>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10.在商场商厦、综合体等大型建筑室内设置柜台的申请点，</w:t>
      </w:r>
      <w:r>
        <w:rPr>
          <w:rFonts w:ascii="仿宋_GB2312" w:hAnsi="仿宋" w:eastAsia="仿宋_GB2312" w:cs="仿宋_GB2312"/>
          <w:color w:val="000000"/>
          <w:sz w:val="32"/>
          <w:szCs w:val="32"/>
        </w:rPr>
        <w:t>按照上述测量方法，</w:t>
      </w:r>
      <w:r>
        <w:rPr>
          <w:rFonts w:hint="eastAsia" w:ascii="仿宋_GB2312" w:hAnsi="仿宋" w:eastAsia="仿宋_GB2312" w:cs="仿宋_GB2312"/>
          <w:color w:val="000000"/>
          <w:sz w:val="32"/>
          <w:szCs w:val="32"/>
        </w:rPr>
        <w:t>以距离最近通道口的柜台中间点为测量起始点进行测量。</w:t>
      </w:r>
    </w:p>
    <w:p>
      <w:pPr>
        <w:spacing w:line="560" w:lineRule="exact"/>
        <w:ind w:firstLine="640" w:firstLineChars="200"/>
        <w:contextualSpacing/>
        <w:rPr>
          <w:rFonts w:ascii="仿宋_GB2312" w:hAnsi="仿宋" w:eastAsia="仿宋_GB2312" w:cs="仿宋_GB2312"/>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1.特殊地形测量：因地形、地貌或设计等原因导致道路、通道成不规则形态，通过前述方法无法测量的，取可安全通行路径最短距离进行测量。</w:t>
      </w:r>
    </w:p>
    <w:p>
      <w:pPr>
        <w:spacing w:line="360" w:lineRule="auto"/>
        <w:rPr>
          <w:rFonts w:ascii="仿宋_GB2312" w:hAnsi="黑体" w:eastAsia="仿宋_GB2312" w:cs="黑体"/>
          <w:sz w:val="32"/>
          <w:szCs w:val="32"/>
        </w:rPr>
      </w:pPr>
    </w:p>
    <w:sectPr>
      <w:footerReference r:id="rId4"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等线">
    <w:altName w:val="宋体"/>
    <w:panose1 w:val="02010600030101010101"/>
    <w:charset w:val="86"/>
    <w:family w:val="auto"/>
    <w:pitch w:val="default"/>
    <w:sig w:usb0="00000000" w:usb1="00000000" w:usb2="00000016" w:usb3="00000000" w:csb0="0004000F" w:csb1="00000000"/>
  </w:font>
  <w:font w:name="方正粗黑宋简体">
    <w:altName w:val="宋体"/>
    <w:panose1 w:val="00000000000000000000"/>
    <w:charset w:val="86"/>
    <w:family w:val="auto"/>
    <w:pitch w:val="default"/>
    <w:sig w:usb0="00000000" w:usb1="00000000"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iMzRiMzhiZTY4MGNhOGRhYzVmZGQ4ZWZhOWFmOTcifQ=="/>
  </w:docVars>
  <w:rsids>
    <w:rsidRoot w:val="67242583"/>
    <w:rsid w:val="0000059D"/>
    <w:rsid w:val="00004B20"/>
    <w:rsid w:val="00005F5B"/>
    <w:rsid w:val="00010230"/>
    <w:rsid w:val="000276E6"/>
    <w:rsid w:val="00032D9B"/>
    <w:rsid w:val="0005637C"/>
    <w:rsid w:val="00057B31"/>
    <w:rsid w:val="00092080"/>
    <w:rsid w:val="000941A0"/>
    <w:rsid w:val="000A2BC0"/>
    <w:rsid w:val="000A43E9"/>
    <w:rsid w:val="000C38E1"/>
    <w:rsid w:val="000D10FB"/>
    <w:rsid w:val="000D3E62"/>
    <w:rsid w:val="000D6DC2"/>
    <w:rsid w:val="000E7E98"/>
    <w:rsid w:val="00111AE6"/>
    <w:rsid w:val="00117977"/>
    <w:rsid w:val="0012270B"/>
    <w:rsid w:val="00146E7B"/>
    <w:rsid w:val="0016085F"/>
    <w:rsid w:val="001860C3"/>
    <w:rsid w:val="00191228"/>
    <w:rsid w:val="00192536"/>
    <w:rsid w:val="00197C85"/>
    <w:rsid w:val="001A36C5"/>
    <w:rsid w:val="001C09E7"/>
    <w:rsid w:val="001D363E"/>
    <w:rsid w:val="001E350D"/>
    <w:rsid w:val="001E45DB"/>
    <w:rsid w:val="00202C7E"/>
    <w:rsid w:val="0021657E"/>
    <w:rsid w:val="00222D6B"/>
    <w:rsid w:val="00225249"/>
    <w:rsid w:val="002576C8"/>
    <w:rsid w:val="00287440"/>
    <w:rsid w:val="002919DE"/>
    <w:rsid w:val="002A02D5"/>
    <w:rsid w:val="002C21BF"/>
    <w:rsid w:val="002C495D"/>
    <w:rsid w:val="002C7AF7"/>
    <w:rsid w:val="002D5119"/>
    <w:rsid w:val="002E04E8"/>
    <w:rsid w:val="002E4BCB"/>
    <w:rsid w:val="002F52BA"/>
    <w:rsid w:val="0031330E"/>
    <w:rsid w:val="00317BD0"/>
    <w:rsid w:val="00322275"/>
    <w:rsid w:val="003244C1"/>
    <w:rsid w:val="00337EDD"/>
    <w:rsid w:val="003409BB"/>
    <w:rsid w:val="0035606A"/>
    <w:rsid w:val="00372D80"/>
    <w:rsid w:val="00375777"/>
    <w:rsid w:val="0037785C"/>
    <w:rsid w:val="00380E99"/>
    <w:rsid w:val="003961A8"/>
    <w:rsid w:val="003B1C5E"/>
    <w:rsid w:val="003D14F8"/>
    <w:rsid w:val="003E5B9A"/>
    <w:rsid w:val="003F02F6"/>
    <w:rsid w:val="00400A67"/>
    <w:rsid w:val="004036F9"/>
    <w:rsid w:val="004259C6"/>
    <w:rsid w:val="00432792"/>
    <w:rsid w:val="0044635D"/>
    <w:rsid w:val="00446887"/>
    <w:rsid w:val="00476E8D"/>
    <w:rsid w:val="004846EC"/>
    <w:rsid w:val="00487F55"/>
    <w:rsid w:val="00490427"/>
    <w:rsid w:val="004A69C1"/>
    <w:rsid w:val="004D7AD2"/>
    <w:rsid w:val="004E2D56"/>
    <w:rsid w:val="004F0CA2"/>
    <w:rsid w:val="00540B5A"/>
    <w:rsid w:val="00541508"/>
    <w:rsid w:val="005454CF"/>
    <w:rsid w:val="00552DED"/>
    <w:rsid w:val="00574315"/>
    <w:rsid w:val="005837E3"/>
    <w:rsid w:val="005838F1"/>
    <w:rsid w:val="005A0FFF"/>
    <w:rsid w:val="005A2265"/>
    <w:rsid w:val="005B07D3"/>
    <w:rsid w:val="005C5839"/>
    <w:rsid w:val="005D36E3"/>
    <w:rsid w:val="005E41C9"/>
    <w:rsid w:val="005E4AE4"/>
    <w:rsid w:val="005F0B05"/>
    <w:rsid w:val="005F7782"/>
    <w:rsid w:val="006324B6"/>
    <w:rsid w:val="00637F4B"/>
    <w:rsid w:val="00647399"/>
    <w:rsid w:val="006540D2"/>
    <w:rsid w:val="00676B2F"/>
    <w:rsid w:val="006901D2"/>
    <w:rsid w:val="006A6757"/>
    <w:rsid w:val="006B0ECD"/>
    <w:rsid w:val="006B1423"/>
    <w:rsid w:val="006B63FE"/>
    <w:rsid w:val="006D42B7"/>
    <w:rsid w:val="006D6877"/>
    <w:rsid w:val="006E1BD9"/>
    <w:rsid w:val="006E5DE3"/>
    <w:rsid w:val="006F213F"/>
    <w:rsid w:val="00705E36"/>
    <w:rsid w:val="00707BD4"/>
    <w:rsid w:val="00714B89"/>
    <w:rsid w:val="0073603E"/>
    <w:rsid w:val="007436FC"/>
    <w:rsid w:val="00752534"/>
    <w:rsid w:val="0075456B"/>
    <w:rsid w:val="00774E36"/>
    <w:rsid w:val="00775DD9"/>
    <w:rsid w:val="00775EFA"/>
    <w:rsid w:val="00797C5D"/>
    <w:rsid w:val="007A4153"/>
    <w:rsid w:val="007C698B"/>
    <w:rsid w:val="007F4733"/>
    <w:rsid w:val="00830295"/>
    <w:rsid w:val="00847076"/>
    <w:rsid w:val="0085153A"/>
    <w:rsid w:val="0085645C"/>
    <w:rsid w:val="00865BE8"/>
    <w:rsid w:val="00873E2B"/>
    <w:rsid w:val="008A6285"/>
    <w:rsid w:val="008E338E"/>
    <w:rsid w:val="008E775E"/>
    <w:rsid w:val="008F07C7"/>
    <w:rsid w:val="008F09A6"/>
    <w:rsid w:val="00904BE7"/>
    <w:rsid w:val="009210B3"/>
    <w:rsid w:val="00923A70"/>
    <w:rsid w:val="0092692B"/>
    <w:rsid w:val="00927CFB"/>
    <w:rsid w:val="00934115"/>
    <w:rsid w:val="009366FA"/>
    <w:rsid w:val="00940A9F"/>
    <w:rsid w:val="00944647"/>
    <w:rsid w:val="0096008A"/>
    <w:rsid w:val="009602F1"/>
    <w:rsid w:val="00963726"/>
    <w:rsid w:val="009965EC"/>
    <w:rsid w:val="009A0CAF"/>
    <w:rsid w:val="009A1BC9"/>
    <w:rsid w:val="009B1215"/>
    <w:rsid w:val="009F558E"/>
    <w:rsid w:val="00A0562B"/>
    <w:rsid w:val="00A11889"/>
    <w:rsid w:val="00A153CE"/>
    <w:rsid w:val="00A16BCE"/>
    <w:rsid w:val="00A209F8"/>
    <w:rsid w:val="00A20F18"/>
    <w:rsid w:val="00A313CE"/>
    <w:rsid w:val="00A35DBF"/>
    <w:rsid w:val="00A407FF"/>
    <w:rsid w:val="00A51CE4"/>
    <w:rsid w:val="00A61723"/>
    <w:rsid w:val="00A70C1B"/>
    <w:rsid w:val="00A73304"/>
    <w:rsid w:val="00A87A67"/>
    <w:rsid w:val="00A90155"/>
    <w:rsid w:val="00A950EB"/>
    <w:rsid w:val="00A968DE"/>
    <w:rsid w:val="00A977C6"/>
    <w:rsid w:val="00AB12DC"/>
    <w:rsid w:val="00AD75C2"/>
    <w:rsid w:val="00AE1951"/>
    <w:rsid w:val="00AE54B1"/>
    <w:rsid w:val="00B022F9"/>
    <w:rsid w:val="00B12034"/>
    <w:rsid w:val="00B12CE6"/>
    <w:rsid w:val="00B26387"/>
    <w:rsid w:val="00B30F12"/>
    <w:rsid w:val="00B3135F"/>
    <w:rsid w:val="00B52E11"/>
    <w:rsid w:val="00B53191"/>
    <w:rsid w:val="00B56B58"/>
    <w:rsid w:val="00B64C37"/>
    <w:rsid w:val="00B92CAA"/>
    <w:rsid w:val="00BB4868"/>
    <w:rsid w:val="00BC3511"/>
    <w:rsid w:val="00BC7534"/>
    <w:rsid w:val="00BC7AAC"/>
    <w:rsid w:val="00BD51C7"/>
    <w:rsid w:val="00BF4561"/>
    <w:rsid w:val="00BF755E"/>
    <w:rsid w:val="00BF7F70"/>
    <w:rsid w:val="00C02689"/>
    <w:rsid w:val="00C041B1"/>
    <w:rsid w:val="00C12500"/>
    <w:rsid w:val="00C16A4A"/>
    <w:rsid w:val="00C22779"/>
    <w:rsid w:val="00C33BE9"/>
    <w:rsid w:val="00C3796A"/>
    <w:rsid w:val="00C455B0"/>
    <w:rsid w:val="00C47093"/>
    <w:rsid w:val="00C5048A"/>
    <w:rsid w:val="00C5111C"/>
    <w:rsid w:val="00C56A7C"/>
    <w:rsid w:val="00C645B0"/>
    <w:rsid w:val="00C82C53"/>
    <w:rsid w:val="00C90A87"/>
    <w:rsid w:val="00C91BE4"/>
    <w:rsid w:val="00C943CE"/>
    <w:rsid w:val="00CD5DC5"/>
    <w:rsid w:val="00CE06C4"/>
    <w:rsid w:val="00CE59F4"/>
    <w:rsid w:val="00CF226C"/>
    <w:rsid w:val="00CF6F89"/>
    <w:rsid w:val="00D11CB6"/>
    <w:rsid w:val="00D1292B"/>
    <w:rsid w:val="00D16D55"/>
    <w:rsid w:val="00D1773F"/>
    <w:rsid w:val="00D3504C"/>
    <w:rsid w:val="00D6754A"/>
    <w:rsid w:val="00D8653F"/>
    <w:rsid w:val="00DA7148"/>
    <w:rsid w:val="00DA745F"/>
    <w:rsid w:val="00DD42AC"/>
    <w:rsid w:val="00E04096"/>
    <w:rsid w:val="00E044AF"/>
    <w:rsid w:val="00E12433"/>
    <w:rsid w:val="00E27022"/>
    <w:rsid w:val="00E3208A"/>
    <w:rsid w:val="00E33BDD"/>
    <w:rsid w:val="00E34FFF"/>
    <w:rsid w:val="00E43FB5"/>
    <w:rsid w:val="00E72FE5"/>
    <w:rsid w:val="00E837B7"/>
    <w:rsid w:val="00E91FB6"/>
    <w:rsid w:val="00E93379"/>
    <w:rsid w:val="00E94C8F"/>
    <w:rsid w:val="00EB76EC"/>
    <w:rsid w:val="00F11552"/>
    <w:rsid w:val="00F11668"/>
    <w:rsid w:val="00F11BDD"/>
    <w:rsid w:val="00F27B77"/>
    <w:rsid w:val="00F567FB"/>
    <w:rsid w:val="00F63B10"/>
    <w:rsid w:val="00F64CB8"/>
    <w:rsid w:val="00F71014"/>
    <w:rsid w:val="00F77AE2"/>
    <w:rsid w:val="00F9455A"/>
    <w:rsid w:val="00F96576"/>
    <w:rsid w:val="00F9761A"/>
    <w:rsid w:val="00FA27A6"/>
    <w:rsid w:val="00FA56A1"/>
    <w:rsid w:val="00FB4F2F"/>
    <w:rsid w:val="00FB6070"/>
    <w:rsid w:val="00FC2DD8"/>
    <w:rsid w:val="010C10F2"/>
    <w:rsid w:val="02FA4A1F"/>
    <w:rsid w:val="07613766"/>
    <w:rsid w:val="0C2C0F83"/>
    <w:rsid w:val="126939E2"/>
    <w:rsid w:val="27EA6D91"/>
    <w:rsid w:val="34820F8E"/>
    <w:rsid w:val="612513B7"/>
    <w:rsid w:val="618D4B3D"/>
    <w:rsid w:val="65BB5336"/>
    <w:rsid w:val="67242583"/>
    <w:rsid w:val="674469BD"/>
    <w:rsid w:val="6F2A4577"/>
    <w:rsid w:val="7EA448D3"/>
    <w:rsid w:val="7F7FF07B"/>
    <w:rsid w:val="BD598BA7"/>
    <w:rsid w:val="FD628F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semiHidden/>
    <w:unhideWhenUsed/>
    <w:uiPriority w:val="0"/>
    <w:rPr>
      <w:rFonts w:ascii="Courier New" w:hAnsi="Courier New" w:cs="Courier New"/>
      <w:sz w:val="20"/>
      <w:szCs w:val="20"/>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Calibri" w:hAnsi="Calibri" w:eastAsia="宋体" w:cs="Calibri"/>
      <w:kern w:val="2"/>
      <w:sz w:val="18"/>
      <w:szCs w:val="18"/>
    </w:rPr>
  </w:style>
  <w:style w:type="character" w:customStyle="1" w:styleId="12">
    <w:name w:val="批注框文本 字符"/>
    <w:basedOn w:val="9"/>
    <w:link w:val="3"/>
    <w:qFormat/>
    <w:uiPriority w:val="0"/>
    <w:rPr>
      <w:rFonts w:ascii="Calibri" w:hAnsi="Calibri" w:eastAsia="宋体" w:cs="Calibri"/>
      <w:kern w:val="2"/>
      <w:sz w:val="18"/>
      <w:szCs w:val="18"/>
    </w:rPr>
  </w:style>
  <w:style w:type="character" w:customStyle="1" w:styleId="13">
    <w:name w:val="批注文字 字符"/>
    <w:basedOn w:val="9"/>
    <w:link w:val="2"/>
    <w:qFormat/>
    <w:uiPriority w:val="0"/>
    <w:rPr>
      <w:rFonts w:ascii="Calibri" w:hAnsi="Calibri" w:eastAsia="宋体" w:cs="Calibri"/>
      <w:kern w:val="2"/>
      <w:sz w:val="21"/>
      <w:szCs w:val="21"/>
    </w:rPr>
  </w:style>
  <w:style w:type="character" w:customStyle="1" w:styleId="14">
    <w:name w:val="批注主题 字符"/>
    <w:basedOn w:val="13"/>
    <w:link w:val="7"/>
    <w:qFormat/>
    <w:uiPriority w:val="0"/>
    <w:rPr>
      <w:rFonts w:ascii="Calibri" w:hAnsi="Calibri" w:eastAsia="宋体" w:cs="Calibri"/>
      <w:b/>
      <w:bCs/>
      <w:kern w:val="2"/>
      <w:sz w:val="21"/>
      <w:szCs w:val="21"/>
    </w:rPr>
  </w:style>
  <w:style w:type="paragraph" w:customStyle="1" w:styleId="15">
    <w:name w:val="修订1"/>
    <w:hidden/>
    <w:semiHidden/>
    <w:qFormat/>
    <w:uiPriority w:val="99"/>
    <w:rPr>
      <w:rFonts w:ascii="Calibri" w:hAnsi="Calibri" w:eastAsia="宋体" w:cs="Calibri"/>
      <w:kern w:val="2"/>
      <w:sz w:val="21"/>
      <w:szCs w:val="21"/>
      <w:lang w:val="en-US" w:eastAsia="zh-CN" w:bidi="ar-SA"/>
    </w:rPr>
  </w:style>
  <w:style w:type="paragraph" w:customStyle="1" w:styleId="16">
    <w:name w:val="修订2"/>
    <w:hidden/>
    <w:unhideWhenUsed/>
    <w:qFormat/>
    <w:uiPriority w:val="99"/>
    <w:rPr>
      <w:rFonts w:ascii="Calibri" w:hAnsi="Calibri" w:eastAsia="宋体" w:cs="Calibri"/>
      <w:kern w:val="2"/>
      <w:sz w:val="21"/>
      <w:szCs w:val="21"/>
      <w:lang w:val="en-US" w:eastAsia="zh-CN" w:bidi="ar-SA"/>
    </w:rPr>
  </w:style>
  <w:style w:type="paragraph" w:styleId="17">
    <w:name w:val="List Paragraph"/>
    <w:basedOn w:val="1"/>
    <w:unhideWhenUsed/>
    <w:qFormat/>
    <w:uiPriority w:val="99"/>
    <w:pPr>
      <w:ind w:firstLine="420" w:firstLineChars="200"/>
    </w:pPr>
  </w:style>
  <w:style w:type="character" w:customStyle="1" w:styleId="18">
    <w:name w:val="HTML 预设格式 字符"/>
    <w:basedOn w:val="9"/>
    <w:link w:val="6"/>
    <w:semiHidden/>
    <w:qFormat/>
    <w:uiPriority w:val="0"/>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48981-DE71-4A3C-B85D-2177459F5B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589</Words>
  <Characters>3360</Characters>
  <Lines>28</Lines>
  <Paragraphs>7</Paragraphs>
  <TotalTime>2</TotalTime>
  <ScaleCrop>false</ScaleCrop>
  <LinksUpToDate>false</LinksUpToDate>
  <CharactersWithSpaces>3942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2023-07-09T22:57:00Z</dcterms:created>
  <dc:creator>廖开雷</dc:creator>
  <cp:lastModifiedBy>user</cp:lastModifiedBy>
  <cp:lastPrinted>2024-02-22T09:46:00Z</cp:lastPrinted>
  <dcterms:modified xsi:type="dcterms:W3CDTF">2024-03-19T08:38:29Z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10A047FF1C444D628B51FD25E2EAF021_13</vt:lpwstr>
  </property>
</Properties>
</file>