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63" w:rsidRDefault="00EA7E9F">
      <w:pPr>
        <w:spacing w:line="560" w:lineRule="exact"/>
        <w:ind w:right="113"/>
        <w:jc w:val="center"/>
        <w:rPr>
          <w:rFonts w:ascii="仿宋_GB2312" w:eastAsia="仿宋_GB2312" w:hAnsi="仿宋_GB2312" w:cs="Times New Roman"/>
          <w:sz w:val="32"/>
          <w:szCs w:val="32"/>
        </w:rPr>
      </w:pPr>
      <w:r>
        <w:rPr>
          <w:rFonts w:ascii="方正小标宋简体" w:eastAsia="方正小标宋简体" w:cs="方正小标宋简体" w:hint="eastAsia"/>
          <w:spacing w:val="-20"/>
          <w:sz w:val="44"/>
          <w:szCs w:val="44"/>
        </w:rPr>
        <w:t>招远市国土空间</w:t>
      </w:r>
      <w:r>
        <w:rPr>
          <w:rFonts w:ascii="方正小标宋简体" w:eastAsia="方正小标宋简体" w:cs="方正小标宋简体" w:hint="eastAsia"/>
          <w:spacing w:val="-20"/>
          <w:sz w:val="44"/>
          <w:szCs w:val="44"/>
        </w:rPr>
        <w:t>总体</w:t>
      </w:r>
      <w:r>
        <w:rPr>
          <w:rFonts w:ascii="方正小标宋简体" w:eastAsia="方正小标宋简体" w:cs="方正小标宋简体" w:hint="eastAsia"/>
          <w:spacing w:val="-20"/>
          <w:sz w:val="44"/>
          <w:szCs w:val="44"/>
        </w:rPr>
        <w:t>规划编制试点工作实施方案</w:t>
      </w:r>
    </w:p>
    <w:p w:rsidR="00F37D63" w:rsidRDefault="00EA7E9F">
      <w:pPr>
        <w:spacing w:line="560" w:lineRule="exact"/>
        <w:jc w:val="center"/>
        <w:rPr>
          <w:rFonts w:ascii="楷体_GB2312" w:eastAsia="楷体_GB2312" w:hAnsi="楷体_GB2312" w:cs="Times New Roman"/>
          <w:sz w:val="32"/>
          <w:szCs w:val="32"/>
        </w:rPr>
      </w:pPr>
      <w:r>
        <w:rPr>
          <w:rFonts w:ascii="楷体_GB2312" w:eastAsia="楷体_GB2312" w:hAnsi="楷体_GB2312" w:cs="楷体_GB2312" w:hint="eastAsia"/>
          <w:sz w:val="32"/>
          <w:szCs w:val="32"/>
        </w:rPr>
        <w:t>（征求意见稿）</w:t>
      </w:r>
    </w:p>
    <w:p w:rsidR="00F37D63" w:rsidRDefault="00F37D63">
      <w:pPr>
        <w:spacing w:line="560" w:lineRule="exact"/>
        <w:ind w:firstLineChars="200" w:firstLine="640"/>
        <w:rPr>
          <w:rFonts w:ascii="仿宋_GB2312" w:eastAsia="仿宋_GB2312" w:hAnsi="仿宋_GB2312" w:cs="Times New Roman"/>
          <w:sz w:val="32"/>
          <w:szCs w:val="32"/>
        </w:rPr>
      </w:pP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为贯彻落实好中央关于建立国土空间规划体系的决策部署，建立我市国土空间规划体系</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健全国土空间开发保护制度，切实发挥国土空间规划的指导约束作用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依据《山东省人民政府办公厅关于印发山东省国土空间规划编制工作方案的通知》（鲁政办字〔</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105</w:t>
      </w:r>
      <w:r>
        <w:rPr>
          <w:rFonts w:ascii="仿宋_GB2312" w:eastAsia="仿宋_GB2312" w:hAnsi="仿宋_GB2312" w:cs="仿宋_GB2312" w:hint="eastAsia"/>
          <w:sz w:val="32"/>
          <w:szCs w:val="32"/>
        </w:rPr>
        <w:t>号），现就做好招远市国土空间总体规划编制试点工作，制定实施方案如下：</w:t>
      </w:r>
    </w:p>
    <w:p w:rsidR="00F37D63" w:rsidRDefault="00EA7E9F">
      <w:pPr>
        <w:spacing w:line="560" w:lineRule="exact"/>
        <w:ind w:firstLineChars="200" w:firstLine="640"/>
        <w:rPr>
          <w:rFonts w:ascii="仿宋" w:eastAsia="仿宋" w:hAnsi="仿宋" w:cs="Times New Roman"/>
          <w:sz w:val="32"/>
          <w:szCs w:val="32"/>
        </w:rPr>
      </w:pPr>
      <w:r>
        <w:rPr>
          <w:rFonts w:ascii="黑体" w:eastAsia="黑体" w:hAnsi="黑体" w:cs="黑体" w:hint="eastAsia"/>
          <w:sz w:val="32"/>
          <w:szCs w:val="32"/>
        </w:rPr>
        <w:t>一、总体要求</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以习近平新时代中国特色社会主义思想为指导，牢固树立新发展理念，对接已开展的《烟台市国土空间总体规划（</w:t>
      </w:r>
      <w:r>
        <w:rPr>
          <w:rFonts w:ascii="仿宋_GB2312" w:eastAsia="仿宋_GB2312" w:hAnsi="仿宋_GB2312" w:cs="仿宋_GB2312"/>
          <w:sz w:val="32"/>
          <w:szCs w:val="32"/>
        </w:rPr>
        <w:t>2019-2035</w:t>
      </w:r>
      <w:r>
        <w:rPr>
          <w:rFonts w:ascii="仿宋_GB2312" w:eastAsia="仿宋_GB2312" w:hAnsi="仿宋_GB2312" w:cs="仿宋_GB2312" w:hint="eastAsia"/>
          <w:sz w:val="32"/>
          <w:szCs w:val="32"/>
        </w:rPr>
        <w:t>年）》工作成果，结合招远市城市总体规划纲要成果和土地利用诉求，进一步统筹全域要素配置，发挥国土空间规划的战略引领和刚性管控作用，整体谋划新时代招远市国土空间开发保护格局，全面提升国土空间治理能力，促进招远市科学发展、绿色发展、高质量发展、全域化发展。</w:t>
      </w:r>
    </w:p>
    <w:p w:rsidR="00F37D63" w:rsidRDefault="00EA7E9F">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二、工作原则</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仿宋_GB2312" w:cs="楷体_GB2312" w:hint="eastAsia"/>
          <w:sz w:val="32"/>
          <w:szCs w:val="32"/>
        </w:rPr>
        <w:t>（一）坚持生态优先，底线管控。</w:t>
      </w:r>
      <w:r>
        <w:rPr>
          <w:rFonts w:ascii="仿宋_GB2312" w:eastAsia="仿宋_GB2312" w:hAnsi="仿宋_GB2312" w:cs="仿宋_GB2312" w:hint="eastAsia"/>
          <w:sz w:val="32"/>
          <w:szCs w:val="32"/>
        </w:rPr>
        <w:t>以资源环境承载力和国土空间开发适宜性评价为约束，坚持底线思维，优先布局区域生态安全、粮食安全、环境安全、经济安全和文化传承等国土空间规划，加强全域全类型用途管制，提升空间治理能力和水平，提升土地利用质量和效益，促进人与自然和谐共生。</w:t>
      </w:r>
    </w:p>
    <w:p w:rsidR="00F37D63" w:rsidRDefault="00EA7E9F">
      <w:pPr>
        <w:spacing w:line="560" w:lineRule="exact"/>
        <w:ind w:firstLineChars="200" w:firstLine="640"/>
        <w:rPr>
          <w:rFonts w:ascii="仿宋" w:eastAsia="仿宋" w:hAnsi="仿宋" w:cs="Times New Roman"/>
          <w:sz w:val="32"/>
          <w:szCs w:val="32"/>
          <w:shd w:val="clear" w:color="auto" w:fill="FFFFFF"/>
        </w:rPr>
      </w:pPr>
      <w:r>
        <w:rPr>
          <w:rFonts w:ascii="楷体_GB2312" w:eastAsia="楷体_GB2312" w:hAnsi="仿宋_GB2312" w:cs="楷体_GB2312" w:hint="eastAsia"/>
          <w:sz w:val="32"/>
          <w:szCs w:val="32"/>
        </w:rPr>
        <w:t>（二）坚持以人为本，协调发展。</w:t>
      </w:r>
      <w:r>
        <w:rPr>
          <w:rFonts w:ascii="仿宋_GB2312" w:eastAsia="仿宋_GB2312" w:hAnsi="仿宋_GB2312" w:cs="仿宋_GB2312" w:hint="eastAsia"/>
          <w:sz w:val="32"/>
          <w:szCs w:val="32"/>
        </w:rPr>
        <w:t>综合考虑各种要素资源，</w:t>
      </w:r>
      <w:r>
        <w:rPr>
          <w:rFonts w:ascii="仿宋_GB2312" w:eastAsia="仿宋_GB2312" w:hAnsi="仿宋_GB2312" w:cs="仿宋_GB2312" w:hint="eastAsia"/>
          <w:sz w:val="32"/>
          <w:szCs w:val="32"/>
        </w:rPr>
        <w:lastRenderedPageBreak/>
        <w:t>持续改善人居环境。完善全覆盖与均衡发展的公共服务体系，科学配置各类基础设施，强化特色风貌保护，提升城市特色与空间品质。</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仿宋_GB2312" w:cs="楷体_GB2312" w:hint="eastAsia"/>
          <w:sz w:val="32"/>
          <w:szCs w:val="32"/>
        </w:rPr>
        <w:t>（三）坚持问题导向，前瞻布局。</w:t>
      </w:r>
      <w:r>
        <w:rPr>
          <w:rFonts w:ascii="仿宋_GB2312" w:eastAsia="仿宋_GB2312" w:hAnsi="仿宋_GB2312" w:cs="仿宋_GB2312" w:hint="eastAsia"/>
          <w:sz w:val="32"/>
          <w:szCs w:val="32"/>
        </w:rPr>
        <w:t>坚持目标导向和问题导向相结合，根据全市发展的阶段性特征，结合我市实际，落实经</w:t>
      </w:r>
      <w:r>
        <w:rPr>
          <w:rFonts w:ascii="仿宋_GB2312" w:eastAsia="仿宋_GB2312" w:hAnsi="仿宋_GB2312" w:cs="仿宋_GB2312" w:hint="eastAsia"/>
          <w:sz w:val="32"/>
          <w:szCs w:val="32"/>
        </w:rPr>
        <w:t>济社会发展要求，统筹考虑城乡融合、区域协调、可持续发展等相关需求，合理布局生产空间、生活空间、生态空间，保持规划前瞻性。</w:t>
      </w:r>
    </w:p>
    <w:p w:rsidR="00F37D63" w:rsidRDefault="00EA7E9F">
      <w:pPr>
        <w:spacing w:line="560" w:lineRule="exact"/>
        <w:ind w:firstLineChars="200" w:firstLine="640"/>
        <w:rPr>
          <w:rFonts w:ascii="仿宋" w:eastAsia="仿宋" w:hAnsi="仿宋" w:cs="Times New Roman"/>
          <w:sz w:val="32"/>
          <w:szCs w:val="32"/>
        </w:rPr>
      </w:pPr>
      <w:r>
        <w:rPr>
          <w:rFonts w:ascii="楷体_GB2312" w:eastAsia="楷体_GB2312" w:hAnsi="楷体_GB2312" w:cs="楷体_GB2312" w:hint="eastAsia"/>
          <w:sz w:val="32"/>
          <w:szCs w:val="32"/>
        </w:rPr>
        <w:t>（四）坚持节约集约，合理用地。</w:t>
      </w:r>
      <w:r>
        <w:rPr>
          <w:rFonts w:ascii="仿宋_GB2312" w:eastAsia="仿宋_GB2312" w:hAnsi="仿宋_GB2312" w:cs="仿宋_GB2312" w:hint="eastAsia"/>
          <w:sz w:val="32"/>
          <w:szCs w:val="32"/>
        </w:rPr>
        <w:t>提倡节约与集约用地，将节约集约利用资源摆在更加突出位置。严控建设用地总量，盘活存量，着力完善有利于存量挖潜的土地政策体系，使新增建设用地规模得到有效控制，闲置、低效建设用地得到充分利用。统筹地上地下空间开发，加快由外延向内涵挖潜、由粗放低效向集约高效转变，以土地利用方式转变引导加快形成绿色发展方式和生活方式。</w:t>
      </w:r>
    </w:p>
    <w:p w:rsidR="00F37D63" w:rsidRDefault="00EA7E9F">
      <w:pPr>
        <w:spacing w:line="560" w:lineRule="exact"/>
        <w:ind w:firstLineChars="200" w:firstLine="640"/>
        <w:rPr>
          <w:rFonts w:ascii="仿宋" w:eastAsia="仿宋" w:hAnsi="仿宋" w:cs="Times New Roman"/>
          <w:sz w:val="32"/>
          <w:szCs w:val="32"/>
          <w:shd w:val="clear" w:color="auto" w:fill="FFFFFF"/>
        </w:rPr>
      </w:pPr>
      <w:r>
        <w:rPr>
          <w:rFonts w:ascii="楷体_GB2312" w:eastAsia="楷体_GB2312" w:hAnsi="仿宋_GB2312" w:cs="楷体_GB2312" w:hint="eastAsia"/>
          <w:sz w:val="32"/>
          <w:szCs w:val="32"/>
        </w:rPr>
        <w:t>（五）坚持顶层引领，共谋共治。</w:t>
      </w:r>
      <w:r>
        <w:rPr>
          <w:rFonts w:ascii="仿宋_GB2312" w:eastAsia="仿宋_GB2312" w:hAnsi="仿宋_GB2312" w:cs="仿宋_GB2312" w:hint="eastAsia"/>
          <w:sz w:val="32"/>
          <w:szCs w:val="32"/>
        </w:rPr>
        <w:t>坚持“政府组织、专</w:t>
      </w:r>
      <w:r>
        <w:rPr>
          <w:rFonts w:ascii="仿宋_GB2312" w:eastAsia="仿宋_GB2312" w:hAnsi="仿宋_GB2312" w:cs="仿宋_GB2312" w:hint="eastAsia"/>
          <w:sz w:val="32"/>
          <w:szCs w:val="32"/>
        </w:rPr>
        <w:t>家领衔、部门合作、公众参与”，坚持自上而下与自下而上双向统筹，加强宣传，扩大和创新公众参与方式方法，促进经济增长、社会和谐、生态优美。</w:t>
      </w:r>
    </w:p>
    <w:p w:rsidR="00F37D63" w:rsidRDefault="00EA7E9F">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三、工作内容</w:t>
      </w:r>
    </w:p>
    <w:p w:rsidR="00F37D63" w:rsidRDefault="00EA7E9F">
      <w:pPr>
        <w:spacing w:line="560" w:lineRule="exact"/>
        <w:ind w:firstLineChars="200" w:firstLine="640"/>
        <w:rPr>
          <w:rFonts w:ascii="楷体_GB2312" w:eastAsia="楷体_GB2312" w:hAnsi="楷体_GB2312" w:cs="Times New Roman"/>
          <w:sz w:val="32"/>
          <w:szCs w:val="32"/>
        </w:rPr>
      </w:pPr>
      <w:bookmarkStart w:id="0" w:name="_Toc12626204"/>
      <w:r>
        <w:rPr>
          <w:rFonts w:ascii="楷体_GB2312" w:eastAsia="楷体_GB2312" w:hAnsi="楷体_GB2312" w:cs="楷体_GB2312" w:hint="eastAsia"/>
          <w:sz w:val="32"/>
          <w:szCs w:val="32"/>
        </w:rPr>
        <w:t>（一）组织现状调查</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做好规划实施评估</w:t>
      </w:r>
      <w:bookmarkEnd w:id="0"/>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围绕我市自然环境、资源条件、历史沿革、人口状况、经济发展、公共服务设施等开展基础资料收集和分析，充分掌握各类自然资源和城乡建设要素现状分布情况和存在问题，并对现行城市总体规划和土地利</w:t>
      </w:r>
      <w:r>
        <w:rPr>
          <w:rFonts w:ascii="仿宋_GB2312" w:eastAsia="仿宋_GB2312" w:hAnsi="仿宋_GB2312" w:cs="仿宋_GB2312" w:hint="eastAsia"/>
          <w:sz w:val="32"/>
          <w:szCs w:val="32"/>
        </w:rPr>
        <w:lastRenderedPageBreak/>
        <w:t>用总体规划等空间类规划的实施情况进行评估，找出国土空间资源保护、利用和布局的核心问题。</w:t>
      </w:r>
    </w:p>
    <w:p w:rsidR="00F37D63" w:rsidRDefault="00EA7E9F">
      <w:pPr>
        <w:spacing w:line="560" w:lineRule="exact"/>
        <w:ind w:firstLineChars="200" w:firstLine="640"/>
        <w:rPr>
          <w:rFonts w:ascii="楷体_GB2312" w:eastAsia="楷体_GB2312" w:hAnsi="楷体_GB2312" w:cs="Times New Roman"/>
          <w:sz w:val="32"/>
          <w:szCs w:val="32"/>
        </w:rPr>
      </w:pPr>
      <w:bookmarkStart w:id="1" w:name="_Toc12626205"/>
      <w:r>
        <w:rPr>
          <w:rFonts w:ascii="楷体_GB2312" w:eastAsia="楷体_GB2312" w:hAnsi="楷体_GB2312" w:cs="楷体_GB2312" w:hint="eastAsia"/>
          <w:sz w:val="32"/>
          <w:szCs w:val="32"/>
        </w:rPr>
        <w:t>（二）统一基础数据和标准</w:t>
      </w:r>
      <w:bookmarkEnd w:id="1"/>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采用</w:t>
      </w:r>
      <w:r>
        <w:rPr>
          <w:rFonts w:ascii="仿宋_GB2312" w:eastAsia="仿宋_GB2312" w:hAnsi="仿宋_GB2312" w:cs="仿宋_GB2312"/>
          <w:sz w:val="32"/>
          <w:szCs w:val="32"/>
        </w:rPr>
        <w:t>2000</w:t>
      </w:r>
      <w:r>
        <w:rPr>
          <w:rFonts w:ascii="仿宋_GB2312" w:eastAsia="仿宋_GB2312" w:hAnsi="仿宋_GB2312" w:cs="仿宋_GB2312" w:hint="eastAsia"/>
          <w:sz w:val="32"/>
          <w:szCs w:val="32"/>
        </w:rPr>
        <w:t>国家大地坐标系作为空间基准，以第三次全国国土调查成果为基础，统筹考虑其他调查监测和规划成果，分析比较各类数据口径差异。充分融合现有主体功能区规划、土地利用规划、城市总体规划、海洋功能区划等空间规划，形成工作底图。</w:t>
      </w:r>
    </w:p>
    <w:p w:rsidR="00F37D63" w:rsidRDefault="00EA7E9F">
      <w:pPr>
        <w:spacing w:line="560" w:lineRule="exact"/>
        <w:ind w:firstLineChars="200" w:firstLine="640"/>
        <w:rPr>
          <w:rFonts w:ascii="楷体_GB2312" w:eastAsia="楷体_GB2312" w:hAnsi="楷体_GB2312" w:cs="Times New Roman"/>
          <w:sz w:val="32"/>
          <w:szCs w:val="32"/>
        </w:rPr>
      </w:pPr>
      <w:bookmarkStart w:id="2" w:name="_Toc12626206"/>
      <w:r>
        <w:rPr>
          <w:rFonts w:ascii="楷体_GB2312" w:eastAsia="楷体_GB2312" w:hAnsi="楷体_GB2312" w:cs="楷体_GB2312" w:hint="eastAsia"/>
          <w:sz w:val="32"/>
          <w:szCs w:val="32"/>
        </w:rPr>
        <w:t>（三）落实国家和区域重大战略，明确战略目标</w:t>
      </w:r>
      <w:bookmarkEnd w:id="2"/>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全面贯彻落实习近平总书记对山东重要指示精神，聚焦新旧动能转换，明确我市承担的责任和使命，依据国家、省、烟台市国土空间规划指导约束要求，落实区域发展战略、乡村振兴战略、主体功能区战略和制度，统筹安排生产空间、生活空间、生态空间，提出</w:t>
      </w:r>
      <w:r>
        <w:rPr>
          <w:rFonts w:ascii="仿宋_GB2312" w:eastAsia="仿宋_GB2312" w:hAnsi="仿宋_GB2312" w:cs="仿宋_GB2312"/>
          <w:sz w:val="32"/>
          <w:szCs w:val="32"/>
        </w:rPr>
        <w:t>2035</w:t>
      </w:r>
      <w:r>
        <w:rPr>
          <w:rFonts w:ascii="仿宋_GB2312" w:eastAsia="仿宋_GB2312" w:hAnsi="仿宋_GB2312" w:cs="仿宋_GB2312" w:hint="eastAsia"/>
          <w:sz w:val="32"/>
          <w:szCs w:val="32"/>
        </w:rPr>
        <w:t>年我市国土空间发</w:t>
      </w:r>
      <w:r>
        <w:rPr>
          <w:rFonts w:ascii="仿宋_GB2312" w:eastAsia="仿宋_GB2312" w:hAnsi="仿宋_GB2312" w:cs="仿宋_GB2312" w:hint="eastAsia"/>
          <w:sz w:val="32"/>
          <w:szCs w:val="32"/>
        </w:rPr>
        <w:t>展目标，明确各项约束性和引导性指标。</w:t>
      </w:r>
    </w:p>
    <w:p w:rsidR="00F37D63" w:rsidRDefault="00EA7E9F">
      <w:pPr>
        <w:spacing w:line="560" w:lineRule="exact"/>
        <w:ind w:firstLineChars="200" w:firstLine="640"/>
        <w:rPr>
          <w:rFonts w:ascii="楷体_GB2312" w:eastAsia="楷体_GB2312" w:hAnsi="楷体_GB2312" w:cs="Times New Roman"/>
          <w:sz w:val="32"/>
          <w:szCs w:val="32"/>
        </w:rPr>
      </w:pPr>
      <w:bookmarkStart w:id="3" w:name="_Toc12626207"/>
      <w:r>
        <w:rPr>
          <w:rFonts w:ascii="楷体_GB2312" w:eastAsia="楷体_GB2312" w:hAnsi="楷体_GB2312" w:cs="楷体_GB2312" w:hint="eastAsia"/>
          <w:sz w:val="32"/>
          <w:szCs w:val="32"/>
        </w:rPr>
        <w:t>（四）明确空间格局，划定“三线”</w:t>
      </w:r>
      <w:bookmarkEnd w:id="3"/>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结合上位规划中资源环境承载能力和国土空间开发适宜性评价工作对我市的要求，确定我市国土空间保护、开发、利用、修复、治理总体格局；确定全域国土空间规划分区及其准入规则，统筹、优化生态保护红线、永久基本农田、城镇开发边界等空间控制线，明确管控要求，合理控制整体开发强度；确定开发边界内集中建设地区的功能布局，明确城市主要发展方向、空间形态和用地结构；划定海洋功能分区，统筹安排海洋岸线功能布局，做好海岸带保护。</w:t>
      </w:r>
    </w:p>
    <w:p w:rsidR="00F37D63" w:rsidRDefault="00EA7E9F">
      <w:pPr>
        <w:spacing w:line="560" w:lineRule="exact"/>
        <w:ind w:firstLineChars="200" w:firstLine="640"/>
        <w:rPr>
          <w:rFonts w:ascii="楷体_GB2312" w:eastAsia="楷体_GB2312" w:hAnsi="楷体_GB2312" w:cs="Times New Roman"/>
          <w:sz w:val="32"/>
          <w:szCs w:val="32"/>
        </w:rPr>
      </w:pPr>
      <w:bookmarkStart w:id="4" w:name="_Toc12626208"/>
      <w:r>
        <w:rPr>
          <w:rFonts w:ascii="楷体_GB2312" w:eastAsia="楷体_GB2312" w:hAnsi="楷体_GB2312" w:cs="楷体_GB2312" w:hint="eastAsia"/>
          <w:sz w:val="32"/>
          <w:szCs w:val="32"/>
        </w:rPr>
        <w:t>（五）落实要素配置</w:t>
      </w:r>
      <w:bookmarkEnd w:id="4"/>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协同和落实上级国土空间总体规划提出的山、水、林、田、湖、草等各类资源保护、修复的规模和要求，明确我市国土空间总体规划约束性指标；开展耕地后备资源</w:t>
      </w:r>
      <w:r>
        <w:rPr>
          <w:rFonts w:ascii="仿宋_GB2312" w:eastAsia="仿宋_GB2312" w:hAnsi="仿宋_GB2312" w:cs="仿宋_GB2312" w:hint="eastAsia"/>
          <w:sz w:val="32"/>
          <w:szCs w:val="32"/>
        </w:rPr>
        <w:lastRenderedPageBreak/>
        <w:t>评估，明确补充耕地集中整备区规模和布局；统筹安排市域交通等基础设施布局和廊道控制要求，明确重要交通枢纽地区选址和轨道交通走向；提出公共服务设施建设标准和布局要求；对城乡风貌特色、历史文脉传承、城市更新、社区生活圈建设等提出原则要求。</w:t>
      </w:r>
    </w:p>
    <w:p w:rsidR="00F37D63" w:rsidRDefault="00EA7E9F">
      <w:pPr>
        <w:spacing w:line="560" w:lineRule="exact"/>
        <w:ind w:firstLineChars="200" w:firstLine="640"/>
        <w:rPr>
          <w:rFonts w:ascii="楷体_GB2312" w:eastAsia="楷体_GB2312" w:hAnsi="楷体_GB2312" w:cs="Times New Roman"/>
          <w:sz w:val="32"/>
          <w:szCs w:val="32"/>
        </w:rPr>
      </w:pPr>
      <w:bookmarkStart w:id="5" w:name="_Toc12626209"/>
      <w:r>
        <w:rPr>
          <w:rFonts w:ascii="楷体_GB2312" w:eastAsia="楷体_GB2312" w:hAnsi="楷体_GB2312" w:cs="楷体_GB2312" w:hint="eastAsia"/>
          <w:sz w:val="32"/>
          <w:szCs w:val="32"/>
        </w:rPr>
        <w:t>（六）开展生态修复</w:t>
      </w:r>
      <w:bookmarkEnd w:id="5"/>
      <w:r>
        <w:rPr>
          <w:rFonts w:ascii="楷体_GB2312" w:eastAsia="楷体_GB2312" w:hAnsi="楷体_GB2312" w:cs="楷体_GB2312" w:hint="eastAsia"/>
          <w:sz w:val="32"/>
          <w:szCs w:val="32"/>
        </w:rPr>
        <w:t>工作。</w:t>
      </w:r>
      <w:r>
        <w:rPr>
          <w:rFonts w:ascii="仿宋_GB2312" w:eastAsia="仿宋_GB2312" w:hAnsi="仿宋_GB2312" w:cs="仿宋_GB2312" w:hint="eastAsia"/>
          <w:sz w:val="32"/>
          <w:szCs w:val="32"/>
        </w:rPr>
        <w:t>明确我市国土空间生态修复目标、任务和重点区域，安排国土综合整治和生态保护修复重点工程的规模、布局和时序；明确各</w:t>
      </w:r>
      <w:r>
        <w:rPr>
          <w:rFonts w:ascii="仿宋_GB2312" w:eastAsia="仿宋_GB2312" w:hAnsi="仿宋_GB2312" w:cs="仿宋_GB2312" w:hint="eastAsia"/>
          <w:sz w:val="32"/>
          <w:szCs w:val="32"/>
        </w:rPr>
        <w:t>类自然保护地范围边界，提出生态保护修复要求，提高生态空间完整性和网络化。</w:t>
      </w:r>
    </w:p>
    <w:p w:rsidR="00F37D63" w:rsidRDefault="00EA7E9F">
      <w:pPr>
        <w:spacing w:line="560" w:lineRule="exact"/>
        <w:ind w:firstLineChars="200" w:firstLine="640"/>
        <w:rPr>
          <w:rFonts w:ascii="楷体_GB2312" w:eastAsia="楷体_GB2312" w:hAnsi="楷体_GB2312" w:cs="Times New Roman"/>
          <w:sz w:val="32"/>
          <w:szCs w:val="32"/>
        </w:rPr>
      </w:pPr>
      <w:bookmarkStart w:id="6" w:name="_Toc12626210"/>
      <w:r>
        <w:rPr>
          <w:rFonts w:ascii="楷体_GB2312" w:eastAsia="楷体_GB2312" w:hAnsi="楷体_GB2312" w:cs="楷体_GB2312" w:hint="eastAsia"/>
          <w:sz w:val="32"/>
          <w:szCs w:val="32"/>
        </w:rPr>
        <w:t>（七）完善规划编制与实施管理机制</w:t>
      </w:r>
      <w:bookmarkEnd w:id="6"/>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科学应用各种新技术，探索县级国土空间总体规划编制技术方法，提出分阶段规划实施目标和重点任务，明确乡镇规划、控制性详细规划等相关下位规划需要落实的约束性指标、管控边界和管控要求。按照编审结合、利于实施原则，研究规划成果和报批成果的体系构成以及数据库标准等，探索建立常态化评估和动态调整完善机制。</w:t>
      </w:r>
    </w:p>
    <w:p w:rsidR="00F37D63" w:rsidRDefault="00EA7E9F">
      <w:pPr>
        <w:spacing w:line="560" w:lineRule="exact"/>
        <w:ind w:firstLineChars="200" w:firstLine="640"/>
        <w:rPr>
          <w:rFonts w:ascii="楷体_GB2312" w:eastAsia="楷体_GB2312" w:hAnsi="楷体_GB2312" w:cs="Times New Roman"/>
          <w:sz w:val="32"/>
          <w:szCs w:val="32"/>
        </w:rPr>
      </w:pPr>
      <w:bookmarkStart w:id="7" w:name="_Toc12626211"/>
      <w:r>
        <w:rPr>
          <w:rFonts w:ascii="楷体_GB2312" w:eastAsia="楷体_GB2312" w:hAnsi="楷体_GB2312" w:cs="楷体_GB2312" w:hint="eastAsia"/>
          <w:sz w:val="32"/>
          <w:szCs w:val="32"/>
        </w:rPr>
        <w:t>（八）开展重大专题研究</w:t>
      </w:r>
      <w:bookmarkEnd w:id="7"/>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坚持政策导向、目标导向和问题导向，围绕空间发展战略、经济发展战略、国土空间格局优化、生</w:t>
      </w:r>
      <w:r>
        <w:rPr>
          <w:rFonts w:ascii="仿宋_GB2312" w:eastAsia="仿宋_GB2312" w:hAnsi="仿宋_GB2312" w:cs="仿宋_GB2312" w:hint="eastAsia"/>
          <w:sz w:val="32"/>
          <w:szCs w:val="32"/>
        </w:rPr>
        <w:t>态保护修复、国土综合整治、基础设施布局、城市更新和乡村振兴等关键问题进行专题研究，为规划编制提供强有力支撑。</w:t>
      </w:r>
    </w:p>
    <w:p w:rsidR="00F37D63" w:rsidRDefault="00EA7E9F">
      <w:pPr>
        <w:spacing w:line="560" w:lineRule="exact"/>
        <w:ind w:firstLineChars="200" w:firstLine="640"/>
        <w:rPr>
          <w:rFonts w:ascii="楷体_GB2312" w:eastAsia="楷体_GB2312" w:hAnsi="楷体_GB2312" w:cs="Times New Roman"/>
          <w:sz w:val="32"/>
          <w:szCs w:val="32"/>
        </w:rPr>
      </w:pPr>
      <w:bookmarkStart w:id="8" w:name="_Toc12626212"/>
      <w:r>
        <w:rPr>
          <w:rFonts w:ascii="楷体_GB2312" w:eastAsia="楷体_GB2312" w:hAnsi="楷体_GB2312" w:cs="楷体_GB2312" w:hint="eastAsia"/>
          <w:sz w:val="32"/>
          <w:szCs w:val="32"/>
        </w:rPr>
        <w:t>（九）建立基础信息平台和规划监测评估预警管理系统</w:t>
      </w:r>
      <w:bookmarkEnd w:id="8"/>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以国土空间基础信息平台为基础，同步搭建统一的基础信息平台和国土空间规划监测评估预警管理系统，利用大数据和新技术，推进国土空间全域全要素的数字化和信息化，确保“发展目标、用地指标、空间坐标”一致，支撑国土空间规划评估、编制和实施</w:t>
      </w:r>
      <w:r>
        <w:rPr>
          <w:rFonts w:ascii="仿宋_GB2312" w:eastAsia="仿宋_GB2312" w:hAnsi="仿宋_GB2312" w:cs="仿宋_GB2312" w:hint="eastAsia"/>
          <w:sz w:val="32"/>
          <w:szCs w:val="32"/>
        </w:rPr>
        <w:lastRenderedPageBreak/>
        <w:t>管理，实现国土空间治理的现代化。</w:t>
      </w:r>
    </w:p>
    <w:p w:rsidR="00F37D63" w:rsidRDefault="00EA7E9F">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四、组织架构</w:t>
      </w:r>
    </w:p>
    <w:p w:rsidR="00F37D63" w:rsidRDefault="00EA7E9F">
      <w:pPr>
        <w:spacing w:line="560" w:lineRule="exact"/>
        <w:ind w:firstLineChars="200" w:firstLine="640"/>
        <w:rPr>
          <w:rFonts w:ascii="楷体_GB2312" w:eastAsia="楷体_GB2312" w:hAnsi="楷体_GB2312" w:cs="Times New Roman"/>
          <w:sz w:val="32"/>
          <w:szCs w:val="32"/>
        </w:rPr>
      </w:pPr>
      <w:r>
        <w:rPr>
          <w:rFonts w:ascii="楷体_GB2312" w:eastAsia="楷体_GB2312" w:hAnsi="楷体_GB2312" w:cs="楷体_GB2312" w:hint="eastAsia"/>
          <w:sz w:val="32"/>
          <w:szCs w:val="32"/>
        </w:rPr>
        <w:t>（一）领导小组。</w:t>
      </w:r>
      <w:r>
        <w:rPr>
          <w:rFonts w:ascii="仿宋_GB2312" w:eastAsia="仿宋_GB2312" w:hAnsi="仿宋_GB2312" w:cs="仿宋_GB2312" w:hint="eastAsia"/>
          <w:sz w:val="32"/>
          <w:szCs w:val="32"/>
        </w:rPr>
        <w:t>成立以市委、市政府主要领导任组长，市政府各副市长任副组长，各相</w:t>
      </w:r>
      <w:r>
        <w:rPr>
          <w:rFonts w:ascii="仿宋_GB2312" w:eastAsia="仿宋_GB2312" w:hAnsi="仿宋_GB2312" w:cs="仿宋_GB2312" w:hint="eastAsia"/>
          <w:sz w:val="32"/>
          <w:szCs w:val="32"/>
        </w:rPr>
        <w:t>关单位主要负责人为成员的招远市国土空间总体规划编制</w:t>
      </w:r>
      <w:r>
        <w:rPr>
          <w:rFonts w:ascii="仿宋_GB2312" w:eastAsia="仿宋_GB2312" w:cs="仿宋_GB2312" w:hint="eastAsia"/>
          <w:sz w:val="32"/>
          <w:szCs w:val="32"/>
        </w:rPr>
        <w:t>试点</w:t>
      </w:r>
      <w:r>
        <w:rPr>
          <w:rFonts w:ascii="仿宋_GB2312" w:eastAsia="仿宋_GB2312" w:hAnsi="仿宋_GB2312" w:cs="仿宋_GB2312" w:hint="eastAsia"/>
          <w:sz w:val="32"/>
          <w:szCs w:val="32"/>
        </w:rPr>
        <w:t>工作领导小组（以下简称领导小组，见附件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主要职责是负责全市国土空间总体规划编制、报审过程中重大事项的指导和决策等工作。</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楷体_GB2312" w:cs="楷体_GB2312" w:hint="eastAsia"/>
          <w:sz w:val="32"/>
          <w:szCs w:val="32"/>
        </w:rPr>
        <w:t>（二）工作小组</w:t>
      </w:r>
      <w:r>
        <w:rPr>
          <w:rFonts w:ascii="仿宋_GB2312" w:eastAsia="仿宋_GB2312" w:hAnsi="仿宋_GB2312" w:cs="仿宋_GB2312" w:hint="eastAsia"/>
          <w:sz w:val="32"/>
          <w:szCs w:val="32"/>
        </w:rPr>
        <w:t>。成立招远市国土空间总体规划编制</w:t>
      </w:r>
      <w:r>
        <w:rPr>
          <w:rFonts w:ascii="仿宋_GB2312" w:eastAsia="仿宋_GB2312" w:cs="仿宋_GB2312" w:hint="eastAsia"/>
          <w:sz w:val="32"/>
          <w:szCs w:val="32"/>
        </w:rPr>
        <w:t>试点</w:t>
      </w:r>
      <w:r>
        <w:rPr>
          <w:rFonts w:ascii="仿宋_GB2312" w:eastAsia="仿宋_GB2312" w:hAnsi="仿宋_GB2312" w:cs="仿宋_GB2312" w:hint="eastAsia"/>
          <w:sz w:val="32"/>
          <w:szCs w:val="32"/>
        </w:rPr>
        <w:t>工作小组，市自然资源和规划局局长李志勇同志任组长，市自然资源和规划局党</w:t>
      </w:r>
      <w:r>
        <w:rPr>
          <w:rFonts w:ascii="仿宋_GB2312" w:eastAsia="仿宋_GB2312" w:hAnsi="仿宋_GB2312" w:cs="仿宋_GB2312" w:hint="eastAsia"/>
          <w:sz w:val="32"/>
          <w:szCs w:val="32"/>
        </w:rPr>
        <w:t>组成员</w:t>
      </w:r>
      <w:r>
        <w:rPr>
          <w:rFonts w:ascii="仿宋_GB2312" w:eastAsia="仿宋_GB2312" w:hAnsi="仿宋_GB2312" w:cs="仿宋_GB2312" w:hint="eastAsia"/>
          <w:sz w:val="32"/>
          <w:szCs w:val="32"/>
        </w:rPr>
        <w:t>兰福军同志任副组长。领导小组各成员单位指定</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名分管负责人作为工作小组成员，</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名正股级干部为联络员。主要职责为：</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制定总体工作计划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组织编制规划成果；</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协调各部门专业规划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协调解决规划编制中的技术问题；</w:t>
      </w:r>
    </w:p>
    <w:p w:rsidR="00F37D63" w:rsidRDefault="00EA7E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提请召开领导小组会议，负责领导小组会议会务工作</w:t>
      </w:r>
      <w:r>
        <w:rPr>
          <w:rFonts w:ascii="仿宋_GB2312" w:eastAsia="仿宋_GB2312" w:hAnsi="仿宋_GB2312" w:cs="仿宋_GB2312"/>
          <w:sz w:val="32"/>
          <w:szCs w:val="32"/>
        </w:rPr>
        <w:t>;</w:t>
      </w:r>
    </w:p>
    <w:p w:rsidR="00F37D63" w:rsidRDefault="00EA7E9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根据工作进展和需要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将规划阶段性成果与重大问题提请领导小组协调、审定</w:t>
      </w:r>
      <w:r>
        <w:rPr>
          <w:rFonts w:ascii="仿宋_GB2312" w:eastAsia="仿宋_GB2312" w:hAnsi="仿宋_GB2312" w:cs="仿宋_GB2312"/>
          <w:sz w:val="32"/>
          <w:szCs w:val="32"/>
        </w:rPr>
        <w:t>;</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对各部门的工作推进执行情况进行督办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以工作简报形式向领导小组报告工作进展。</w:t>
      </w:r>
    </w:p>
    <w:p w:rsidR="00F37D63" w:rsidRDefault="00EA7E9F">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五、主要任务分工</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结合工作内容，提出</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大板块工作任务及相关重大专题研究，内容如下：</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仿宋_GB2312" w:cs="楷体_GB2312" w:hint="eastAsia"/>
          <w:sz w:val="32"/>
          <w:szCs w:val="32"/>
        </w:rPr>
        <w:t>（一）战略目标板块。</w:t>
      </w:r>
      <w:r>
        <w:rPr>
          <w:rFonts w:ascii="仿宋_GB2312" w:eastAsia="仿宋_GB2312" w:hAnsi="仿宋_GB2312" w:cs="仿宋_GB2312" w:hint="eastAsia"/>
          <w:sz w:val="32"/>
          <w:szCs w:val="32"/>
        </w:rPr>
        <w:t>研究制定招远市</w:t>
      </w:r>
      <w:r>
        <w:rPr>
          <w:rFonts w:ascii="仿宋_GB2312" w:eastAsia="仿宋_GB2312" w:hAnsi="仿宋_GB2312" w:cs="仿宋_GB2312"/>
          <w:sz w:val="32"/>
          <w:szCs w:val="32"/>
        </w:rPr>
        <w:t>2035</w:t>
      </w:r>
      <w:r>
        <w:rPr>
          <w:rFonts w:ascii="仿宋_GB2312" w:eastAsia="仿宋_GB2312" w:hAnsi="仿宋_GB2312" w:cs="仿宋_GB2312" w:hint="eastAsia"/>
          <w:sz w:val="32"/>
          <w:szCs w:val="32"/>
        </w:rPr>
        <w:t>年发展目标，展望远景</w:t>
      </w:r>
      <w:r>
        <w:rPr>
          <w:rFonts w:ascii="仿宋_GB2312" w:eastAsia="仿宋_GB2312" w:hAnsi="仿宋_GB2312" w:cs="仿宋_GB2312"/>
          <w:sz w:val="32"/>
          <w:szCs w:val="32"/>
        </w:rPr>
        <w:t>2050</w:t>
      </w:r>
      <w:r>
        <w:rPr>
          <w:rFonts w:ascii="仿宋_GB2312" w:eastAsia="仿宋_GB2312" w:hAnsi="仿宋_GB2312" w:cs="仿宋_GB2312" w:hint="eastAsia"/>
          <w:sz w:val="32"/>
          <w:szCs w:val="32"/>
        </w:rPr>
        <w:t>年发展目标；制定各项约束性和引导性指标（牵</w:t>
      </w:r>
      <w:r>
        <w:rPr>
          <w:rFonts w:ascii="仿宋_GB2312" w:eastAsia="仿宋_GB2312" w:hAnsi="仿宋_GB2312" w:cs="仿宋_GB2312" w:hint="eastAsia"/>
          <w:sz w:val="32"/>
          <w:szCs w:val="32"/>
        </w:rPr>
        <w:lastRenderedPageBreak/>
        <w:t>头单位：市发展和改革局、自然资源和规划局）。</w:t>
      </w:r>
    </w:p>
    <w:p w:rsidR="00F37D63" w:rsidRDefault="00EA7E9F">
      <w:pPr>
        <w:spacing w:line="560" w:lineRule="exact"/>
        <w:ind w:firstLineChars="200" w:firstLine="640"/>
        <w:rPr>
          <w:rFonts w:ascii="楷体" w:eastAsia="楷体" w:hAnsi="楷体" w:cs="Times New Roman"/>
          <w:sz w:val="32"/>
          <w:szCs w:val="32"/>
        </w:rPr>
      </w:pPr>
      <w:r>
        <w:rPr>
          <w:rFonts w:ascii="楷体_GB2312" w:eastAsia="楷体_GB2312" w:hAnsi="仿宋_GB2312" w:cs="楷体_GB2312" w:hint="eastAsia"/>
          <w:sz w:val="32"/>
          <w:szCs w:val="32"/>
        </w:rPr>
        <w:t>（二）镇</w:t>
      </w:r>
      <w:r>
        <w:rPr>
          <w:rFonts w:ascii="楷体_GB2312" w:eastAsia="楷体_GB2312" w:hAnsi="仿宋_GB2312" w:cs="楷体_GB2312" w:hint="eastAsia"/>
          <w:sz w:val="32"/>
          <w:szCs w:val="32"/>
        </w:rPr>
        <w:t>域</w:t>
      </w:r>
      <w:r>
        <w:rPr>
          <w:rFonts w:ascii="楷体_GB2312" w:eastAsia="楷体_GB2312" w:hAnsi="仿宋_GB2312" w:cs="楷体_GB2312" w:hint="eastAsia"/>
          <w:sz w:val="32"/>
          <w:szCs w:val="32"/>
        </w:rPr>
        <w:t>板块。</w:t>
      </w:r>
      <w:r>
        <w:rPr>
          <w:rFonts w:ascii="仿宋_GB2312" w:eastAsia="仿宋_GB2312" w:hAnsi="仿宋_GB2312" w:cs="仿宋_GB2312" w:hint="eastAsia"/>
          <w:sz w:val="32"/>
          <w:szCs w:val="32"/>
        </w:rPr>
        <w:t>各镇要</w:t>
      </w:r>
      <w:r>
        <w:rPr>
          <w:rFonts w:ascii="仿宋_GB2312" w:eastAsia="仿宋_GB2312" w:hAnsi="仿宋_GB2312" w:cs="仿宋_GB2312" w:hint="eastAsia"/>
          <w:sz w:val="32"/>
          <w:szCs w:val="32"/>
        </w:rPr>
        <w:t>配合</w:t>
      </w:r>
      <w:r>
        <w:rPr>
          <w:rFonts w:ascii="仿宋_GB2312" w:eastAsia="仿宋_GB2312" w:hAnsi="仿宋_GB2312" w:cs="仿宋_GB2312" w:hint="eastAsia"/>
          <w:sz w:val="32"/>
          <w:szCs w:val="32"/>
        </w:rPr>
        <w:t>开展国土空间总体规划编制</w:t>
      </w:r>
      <w:r>
        <w:rPr>
          <w:rFonts w:ascii="仿宋_GB2312" w:eastAsia="仿宋_GB2312" w:cs="仿宋_GB2312" w:hint="eastAsia"/>
          <w:sz w:val="32"/>
          <w:szCs w:val="32"/>
        </w:rPr>
        <w:t>试点工作</w:t>
      </w:r>
      <w:r>
        <w:rPr>
          <w:rFonts w:ascii="仿宋_GB2312" w:eastAsia="仿宋_GB2312" w:cs="仿宋_GB2312" w:hint="eastAsia"/>
          <w:sz w:val="32"/>
          <w:szCs w:val="32"/>
        </w:rPr>
        <w:t>。</w:t>
      </w:r>
      <w:r>
        <w:rPr>
          <w:rFonts w:ascii="仿宋_GB2312" w:eastAsia="仿宋_GB2312" w:hAnsi="仿宋_GB2312" w:cs="仿宋_GB2312" w:hint="eastAsia"/>
          <w:sz w:val="32"/>
          <w:szCs w:val="32"/>
        </w:rPr>
        <w:t>（牵头单位：各镇</w:t>
      </w:r>
      <w:r>
        <w:rPr>
          <w:rFonts w:ascii="仿宋_GB2312" w:eastAsia="仿宋_GB2312" w:hAnsi="仿宋_GB2312" w:cs="仿宋_GB2312" w:hint="eastAsia"/>
          <w:sz w:val="32"/>
          <w:szCs w:val="32"/>
        </w:rPr>
        <w:t>人民政府</w:t>
      </w:r>
      <w:r>
        <w:rPr>
          <w:rFonts w:ascii="仿宋_GB2312" w:eastAsia="仿宋_GB2312" w:hAnsi="仿宋_GB2312" w:cs="仿宋_GB2312" w:hint="eastAsia"/>
          <w:sz w:val="32"/>
          <w:szCs w:val="32"/>
        </w:rPr>
        <w:t>）。</w:t>
      </w:r>
    </w:p>
    <w:p w:rsidR="00F37D63" w:rsidRDefault="00EA7E9F">
      <w:pPr>
        <w:spacing w:line="560" w:lineRule="exact"/>
        <w:ind w:firstLineChars="200" w:firstLine="640"/>
        <w:rPr>
          <w:rFonts w:ascii="仿宋_GB2312" w:eastAsia="仿宋_GB2312" w:hAnsi="仿宋_GB2312" w:cs="仿宋_GB2312"/>
          <w:sz w:val="32"/>
          <w:szCs w:val="32"/>
        </w:rPr>
      </w:pPr>
      <w:r>
        <w:rPr>
          <w:rFonts w:ascii="楷体_GB2312" w:eastAsia="楷体_GB2312" w:hAnsi="仿宋_GB2312" w:cs="楷体_GB2312" w:hint="eastAsia"/>
          <w:sz w:val="32"/>
          <w:szCs w:val="32"/>
        </w:rPr>
        <w:t>（三）空间格局板块</w:t>
      </w:r>
      <w:r>
        <w:rPr>
          <w:rFonts w:ascii="楷体_GB2312" w:eastAsia="楷体_GB2312" w:hAnsi="仿宋_GB2312" w:cs="楷体_GB2312" w:hint="eastAsia"/>
          <w:sz w:val="32"/>
          <w:szCs w:val="32"/>
        </w:rPr>
        <w:t>。</w:t>
      </w:r>
      <w:r>
        <w:rPr>
          <w:rFonts w:ascii="仿宋_GB2312" w:eastAsia="仿宋_GB2312" w:hAnsi="仿宋_GB2312" w:cs="仿宋_GB2312" w:hint="eastAsia"/>
          <w:sz w:val="32"/>
          <w:szCs w:val="32"/>
        </w:rPr>
        <w:t>划定“三条控制线”，明确管控要求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明确招远城区开发边界内集建区功能布局，划定海洋功能分区（牵头单位：市自然资源和规划局）。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仿宋_GB2312" w:cs="楷体_GB2312" w:hint="eastAsia"/>
          <w:sz w:val="32"/>
          <w:szCs w:val="32"/>
        </w:rPr>
        <w:t>（四）要素配置板块。</w:t>
      </w:r>
      <w:r>
        <w:rPr>
          <w:rFonts w:ascii="仿宋_GB2312" w:eastAsia="仿宋_GB2312" w:hAnsi="仿宋_GB2312" w:cs="仿宋_GB2312" w:hint="eastAsia"/>
          <w:sz w:val="32"/>
          <w:szCs w:val="32"/>
        </w:rPr>
        <w:t>研究制定落实省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市国土空间规划提出的山、水、林、田、湖、草等自然资源保护修复要求，开展耕地后备资源评估（牵头单位：</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自然资源和规划局）；市域交通等基础设施和廊道控制要求（牵头单位：</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交通运输局、住房和城乡建设局、自然资源和规划局）；明确重要交通枢纽选址，明确轨道交通走向（牵头单位：市交通运输局、自然资源和规划局）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提出公共服务设施建设标准和布局要求，提出城乡风貌特色、历史文化、城市更新、社区生活圈建设要求（牵头单位：</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自然资源和规划局）</w:t>
      </w:r>
      <w:r>
        <w:rPr>
          <w:rFonts w:ascii="仿宋_GB2312" w:eastAsia="仿宋_GB2312" w:hAnsi="仿宋_GB2312" w:cs="仿宋_GB2312" w:hint="eastAsia"/>
          <w:sz w:val="32"/>
          <w:szCs w:val="32"/>
        </w:rPr>
        <w:t>。</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仿宋_GB2312" w:cs="楷体_GB2312" w:hint="eastAsia"/>
          <w:sz w:val="32"/>
          <w:szCs w:val="32"/>
        </w:rPr>
        <w:t>（五）生态修复板块。</w:t>
      </w:r>
      <w:r>
        <w:rPr>
          <w:rFonts w:ascii="仿宋_GB2312" w:eastAsia="仿宋_GB2312" w:hAnsi="仿宋_GB2312" w:cs="仿宋_GB2312" w:hint="eastAsia"/>
          <w:sz w:val="32"/>
          <w:szCs w:val="32"/>
        </w:rPr>
        <w:t>研究确定国土综合整治和生态保护修复重点工程的规模、布局和时序（牵头单位：烟台市生态环境局招远分局、</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自然资源和规划局）；明确各类自然保护地的范围边界，提出生态保护修复要求（牵头单位：</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仿宋_GB2312" w:cs="楷体_GB2312" w:hint="eastAsia"/>
          <w:sz w:val="32"/>
          <w:szCs w:val="32"/>
        </w:rPr>
        <w:t>（六）分解落实板块。</w:t>
      </w:r>
      <w:r>
        <w:rPr>
          <w:rFonts w:ascii="仿宋_GB2312" w:eastAsia="仿宋_GB2312" w:hAnsi="仿宋_GB2312" w:cs="仿宋_GB2312" w:hint="eastAsia"/>
          <w:sz w:val="32"/>
          <w:szCs w:val="32"/>
        </w:rPr>
        <w:t>研究提出分阶段规划实施目标和重点任务，明确下位规划需要落实的约束性指标、管控边界和要求，提出对功能区规划、详细规划的分解落实要求（牵头单位：</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仿宋_GB2312" w:cs="楷体_GB2312" w:hint="eastAsia"/>
          <w:sz w:val="32"/>
          <w:szCs w:val="32"/>
        </w:rPr>
        <w:t>（七）政策措施板块。</w:t>
      </w:r>
      <w:r>
        <w:rPr>
          <w:rFonts w:ascii="仿宋_GB2312" w:eastAsia="仿宋_GB2312" w:hAnsi="仿宋_GB2312" w:cs="仿宋_GB2312" w:hint="eastAsia"/>
          <w:sz w:val="32"/>
          <w:szCs w:val="32"/>
        </w:rPr>
        <w:t>研究建立城乡体征指标体系，健全规</w:t>
      </w:r>
      <w:r>
        <w:rPr>
          <w:rFonts w:ascii="仿宋_GB2312" w:eastAsia="仿宋_GB2312" w:hAnsi="仿宋_GB2312" w:cs="仿宋_GB2312" w:hint="eastAsia"/>
          <w:sz w:val="32"/>
          <w:szCs w:val="32"/>
        </w:rPr>
        <w:lastRenderedPageBreak/>
        <w:t>划传导机制和实施措施（牵头单位：</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仿宋_GB2312" w:cs="楷体_GB2312" w:hint="eastAsia"/>
          <w:sz w:val="32"/>
          <w:szCs w:val="32"/>
        </w:rPr>
        <w:t>（八）其他板块。</w:t>
      </w:r>
      <w:r>
        <w:rPr>
          <w:rFonts w:ascii="仿宋_GB2312" w:eastAsia="仿宋_GB2312" w:hAnsi="仿宋_GB2312" w:cs="仿宋_GB2312" w:hint="eastAsia"/>
          <w:sz w:val="32"/>
          <w:szCs w:val="32"/>
        </w:rPr>
        <w:t>以第三次全国国土调查资料，作为本次规划编制的现状基础数据，对现行土地利用总体规划、城市总体规划等进行实施评估（牵头单位：</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自然资源和规划局）。</w:t>
      </w:r>
    </w:p>
    <w:p w:rsidR="00F37D63" w:rsidRDefault="00EA7E9F">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六、工作计划</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招远市国土空间总体规划编制工作从</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月开始，至</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月底前完成总体规划编制，分为</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个工作阶段，具体如下：</w:t>
      </w:r>
    </w:p>
    <w:p w:rsidR="00F37D63" w:rsidRDefault="00EA7E9F">
      <w:pPr>
        <w:spacing w:line="560" w:lineRule="exact"/>
        <w:ind w:firstLineChars="200" w:firstLine="640"/>
        <w:rPr>
          <w:rFonts w:ascii="楷体_GB2312" w:eastAsia="楷体_GB2312" w:hAnsi="楷体_GB2312" w:cs="Times New Roman"/>
          <w:sz w:val="32"/>
          <w:szCs w:val="32"/>
        </w:rPr>
      </w:pPr>
      <w:bookmarkStart w:id="9" w:name="_Toc12626226"/>
      <w:r>
        <w:rPr>
          <w:rFonts w:ascii="楷体_GB2312" w:eastAsia="楷体_GB2312" w:hAnsi="楷体_GB2312" w:cs="楷体_GB2312" w:hint="eastAsia"/>
          <w:sz w:val="32"/>
          <w:szCs w:val="32"/>
        </w:rPr>
        <w:t>（一）第一阶段（</w:t>
      </w:r>
      <w:r>
        <w:rPr>
          <w:rFonts w:ascii="楷体_GB2312" w:eastAsia="楷体_GB2312" w:hAnsi="楷体_GB2312" w:cs="楷体_GB2312"/>
          <w:sz w:val="32"/>
          <w:szCs w:val="32"/>
        </w:rPr>
        <w:t>2019</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6</w:t>
      </w:r>
      <w:r>
        <w:rPr>
          <w:rFonts w:ascii="楷体_GB2312" w:eastAsia="楷体_GB2312" w:hAnsi="楷体_GB2312" w:cs="楷体_GB2312" w:hint="eastAsia"/>
          <w:sz w:val="32"/>
          <w:szCs w:val="32"/>
        </w:rPr>
        <w:t>月底</w:t>
      </w:r>
      <w:r>
        <w:rPr>
          <w:rFonts w:ascii="楷体_GB2312" w:eastAsia="楷体_GB2312" w:hAnsi="楷体_GB2312" w:cs="楷体_GB2312"/>
          <w:sz w:val="32"/>
          <w:szCs w:val="32"/>
        </w:rPr>
        <w:t>—7</w:t>
      </w:r>
      <w:r>
        <w:rPr>
          <w:rFonts w:ascii="楷体_GB2312" w:eastAsia="楷体_GB2312" w:hAnsi="楷体_GB2312" w:cs="楷体_GB2312" w:hint="eastAsia"/>
          <w:sz w:val="32"/>
          <w:szCs w:val="32"/>
        </w:rPr>
        <w:t>月中旬），前期准备阶段</w:t>
      </w:r>
      <w:bookmarkEnd w:id="9"/>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完成《招远市国土空间总体规划编制</w:t>
      </w:r>
      <w:r>
        <w:rPr>
          <w:rFonts w:ascii="仿宋_GB2312" w:eastAsia="仿宋_GB2312" w:hAnsi="仿宋_GB2312" w:cs="仿宋_GB2312" w:hint="eastAsia"/>
          <w:sz w:val="32"/>
          <w:szCs w:val="32"/>
        </w:rPr>
        <w:t>试点</w:t>
      </w:r>
      <w:r>
        <w:rPr>
          <w:rFonts w:ascii="仿宋_GB2312" w:eastAsia="仿宋_GB2312" w:hAnsi="仿宋_GB2312" w:cs="仿宋_GB2312" w:hint="eastAsia"/>
          <w:sz w:val="32"/>
          <w:szCs w:val="32"/>
        </w:rPr>
        <w:t>工作方案》，明确各项任务时间节点和工作要求，成立招远市国土空间总体规划编制试点工作领导小组，全面启动规划编制工作，确定工作计划和技术团队，明确专职对接人员。各相关部门针对所负责的专题研究和任务板块，要确定专职对接人员，</w:t>
      </w:r>
      <w:r>
        <w:rPr>
          <w:rFonts w:ascii="仿宋_GB2312" w:eastAsia="仿宋_GB2312" w:hAnsi="仿宋_GB2312" w:cs="仿宋_GB2312" w:hint="eastAsia"/>
          <w:sz w:val="32"/>
          <w:szCs w:val="32"/>
        </w:rPr>
        <w:t>可推荐技术负责团队，积极配合</w:t>
      </w:r>
      <w:r>
        <w:rPr>
          <w:rFonts w:ascii="仿宋_GB2312" w:eastAsia="仿宋_GB2312" w:hAnsi="仿宋_GB2312" w:cs="仿宋_GB2312" w:hint="eastAsia"/>
          <w:sz w:val="32"/>
          <w:szCs w:val="32"/>
        </w:rPr>
        <w:t>开展规划编制工作</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基础资料收集工作（见附件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F37D63" w:rsidRDefault="00EA7E9F">
      <w:pPr>
        <w:spacing w:line="560" w:lineRule="exact"/>
        <w:ind w:firstLineChars="200" w:firstLine="640"/>
        <w:rPr>
          <w:rFonts w:ascii="仿宋_GB2312" w:eastAsia="仿宋_GB2312" w:hAnsi="仿宋_GB2312" w:cs="Times New Roman"/>
          <w:sz w:val="32"/>
          <w:szCs w:val="32"/>
        </w:rPr>
      </w:pPr>
      <w:bookmarkStart w:id="10" w:name="_Toc12626227"/>
      <w:r>
        <w:rPr>
          <w:rFonts w:ascii="楷体_GB2312" w:eastAsia="楷体_GB2312" w:hAnsi="楷体_GB2312" w:cs="楷体_GB2312" w:hint="eastAsia"/>
          <w:sz w:val="32"/>
          <w:szCs w:val="32"/>
        </w:rPr>
        <w:t>（二）第二阶段（</w:t>
      </w:r>
      <w:r>
        <w:rPr>
          <w:rFonts w:ascii="楷体_GB2312" w:eastAsia="楷体_GB2312" w:hAnsi="楷体_GB2312" w:cs="楷体_GB2312"/>
          <w:sz w:val="32"/>
          <w:szCs w:val="32"/>
        </w:rPr>
        <w:t>2019</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7</w:t>
      </w:r>
      <w:r>
        <w:rPr>
          <w:rFonts w:ascii="楷体_GB2312" w:eastAsia="楷体_GB2312" w:hAnsi="楷体_GB2312" w:cs="楷体_GB2312" w:hint="eastAsia"/>
          <w:sz w:val="32"/>
          <w:szCs w:val="32"/>
        </w:rPr>
        <w:t>中旬</w:t>
      </w:r>
      <w:r>
        <w:rPr>
          <w:rFonts w:ascii="楷体_GB2312" w:eastAsia="楷体_GB2312" w:hAnsi="楷体_GB2312" w:cs="楷体_GB2312"/>
          <w:sz w:val="32"/>
          <w:szCs w:val="32"/>
        </w:rPr>
        <w:t>—8</w:t>
      </w:r>
      <w:r>
        <w:rPr>
          <w:rFonts w:ascii="楷体_GB2312" w:eastAsia="楷体_GB2312" w:hAnsi="楷体_GB2312" w:cs="楷体_GB2312" w:hint="eastAsia"/>
          <w:sz w:val="32"/>
          <w:szCs w:val="32"/>
        </w:rPr>
        <w:t>月），基础研究阶段</w:t>
      </w:r>
      <w:bookmarkEnd w:id="10"/>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完成国土空间总体规划前期调查，获取第三次全国国土调查成果；完成城市总体规划、土地利用总体规划等空间规划实施评估，完成专题研究（见附件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统一国土空间基础数据和技术标准，建立基础信息平台，初步形成规划底图；通过信息平台录入和转换坐标、叠加城市总体规划、土地利用总体规划、林业保护与发展规划、海洋功能区划等规划成果，识别“多规”矛盾，明确“多规”矛盾处理原则，形成下一步国土空间总体规划的工作基础。</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仿宋_GB2312" w:cs="楷体_GB2312" w:hint="eastAsia"/>
          <w:sz w:val="32"/>
          <w:szCs w:val="32"/>
        </w:rPr>
        <w:t>（三）第三阶段（</w:t>
      </w:r>
      <w:r>
        <w:rPr>
          <w:rFonts w:ascii="楷体_GB2312" w:eastAsia="楷体_GB2312" w:hAnsi="仿宋_GB2312" w:cs="楷体_GB2312"/>
          <w:sz w:val="32"/>
          <w:szCs w:val="32"/>
        </w:rPr>
        <w:t>2019</w:t>
      </w:r>
      <w:r>
        <w:rPr>
          <w:rFonts w:ascii="楷体_GB2312" w:eastAsia="楷体_GB2312" w:hAnsi="仿宋_GB2312" w:cs="楷体_GB2312" w:hint="eastAsia"/>
          <w:sz w:val="32"/>
          <w:szCs w:val="32"/>
        </w:rPr>
        <w:t>年</w:t>
      </w:r>
      <w:r>
        <w:rPr>
          <w:rFonts w:ascii="楷体_GB2312" w:eastAsia="楷体_GB2312" w:hAnsi="仿宋_GB2312" w:cs="楷体_GB2312"/>
          <w:sz w:val="32"/>
          <w:szCs w:val="32"/>
        </w:rPr>
        <w:t>9</w:t>
      </w:r>
      <w:r>
        <w:rPr>
          <w:rFonts w:ascii="楷体_GB2312" w:eastAsia="楷体_GB2312" w:hAnsi="仿宋_GB2312" w:cs="楷体_GB2312" w:hint="eastAsia"/>
          <w:sz w:val="32"/>
          <w:szCs w:val="32"/>
        </w:rPr>
        <w:t>月</w:t>
      </w:r>
      <w:r>
        <w:rPr>
          <w:rFonts w:ascii="楷体_GB2312" w:eastAsia="楷体_GB2312" w:hAnsi="仿宋_GB2312" w:cs="楷体_GB2312"/>
          <w:sz w:val="32"/>
          <w:szCs w:val="32"/>
        </w:rPr>
        <w:t>—</w:t>
      </w:r>
      <w:r>
        <w:rPr>
          <w:rFonts w:ascii="楷体_GB2312" w:eastAsia="楷体_GB2312" w:hAnsi="仿宋_GB2312" w:cs="楷体_GB2312"/>
          <w:sz w:val="32"/>
          <w:szCs w:val="32"/>
        </w:rPr>
        <w:t>10</w:t>
      </w:r>
      <w:r>
        <w:rPr>
          <w:rFonts w:ascii="楷体_GB2312" w:eastAsia="楷体_GB2312" w:hAnsi="仿宋_GB2312" w:cs="楷体_GB2312" w:hint="eastAsia"/>
          <w:sz w:val="32"/>
          <w:szCs w:val="32"/>
        </w:rPr>
        <w:t>月），规划编制阶段。</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lastRenderedPageBreak/>
        <w:t>国土空间总体规划前期基础研究工作的基础上，各部门联动与上</w:t>
      </w:r>
      <w:r>
        <w:rPr>
          <w:rFonts w:ascii="仿宋_GB2312" w:eastAsia="仿宋_GB2312" w:hAnsi="仿宋_GB2312" w:cs="仿宋_GB2312" w:hint="eastAsia"/>
          <w:sz w:val="32"/>
          <w:szCs w:val="32"/>
        </w:rPr>
        <w:t>下联动相结合，优化国土空间规划图斑，消化大部分矛盾；对于部门之间、上下之间难以协调的图斑矛盾，提请市国土空间总体规划工作领导小组召开专题会议讨论决策，最终划定生态保护红线、永久基本农田、城镇开发边界三条控制线，形成指标与坐标相统一的“一张蓝图”，并明确各部门的管控边界和管控要求。在完成招远市国土空间总体规划“一张蓝图”的基础上，按照山东省自然资源厅指导意见，市政府组织召开规划方案专家咨询会。</w:t>
      </w:r>
    </w:p>
    <w:p w:rsidR="00F37D63" w:rsidRDefault="00EA7E9F">
      <w:pPr>
        <w:spacing w:line="560" w:lineRule="exact"/>
        <w:ind w:firstLineChars="200" w:firstLine="640"/>
        <w:rPr>
          <w:rFonts w:ascii="楷体_GB2312" w:eastAsia="楷体_GB2312" w:hAnsi="楷体_GB2312" w:cs="Times New Roman"/>
          <w:sz w:val="32"/>
          <w:szCs w:val="32"/>
        </w:rPr>
      </w:pPr>
      <w:bookmarkStart w:id="11" w:name="_Toc12626228"/>
      <w:r>
        <w:rPr>
          <w:rFonts w:ascii="楷体_GB2312" w:eastAsia="楷体_GB2312" w:hAnsi="楷体_GB2312" w:cs="楷体_GB2312" w:hint="eastAsia"/>
          <w:sz w:val="32"/>
          <w:szCs w:val="32"/>
        </w:rPr>
        <w:t>（四）第四阶段（</w:t>
      </w:r>
      <w:r>
        <w:rPr>
          <w:rFonts w:ascii="楷体_GB2312" w:eastAsia="楷体_GB2312" w:hAnsi="楷体_GB2312" w:cs="楷体_GB2312"/>
          <w:sz w:val="32"/>
          <w:szCs w:val="32"/>
        </w:rPr>
        <w:t>2019</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-12</w:t>
      </w:r>
      <w:r>
        <w:rPr>
          <w:rFonts w:ascii="楷体_GB2312" w:eastAsia="楷体_GB2312" w:hAnsi="楷体_GB2312" w:cs="楷体_GB2312" w:hint="eastAsia"/>
          <w:sz w:val="32"/>
          <w:szCs w:val="32"/>
        </w:rPr>
        <w:t>月），完善上报阶段</w:t>
      </w:r>
      <w:bookmarkEnd w:id="11"/>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进一步修改完善规划方案，完成招远市国土空间总体规划成果并上报；建成规划监测评估预警管理系统，将涵盖城乡规划建设、重大项目、土地资源</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含土地储备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、环境保护等涉及空间要求的信息要素纳入信息平台；完成市域村庄布局规划、试点村庄规划。</w:t>
      </w:r>
    </w:p>
    <w:p w:rsidR="00F37D63" w:rsidRDefault="00EA7E9F">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七、工作要求</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楷体_GB2312" w:cs="楷体_GB2312" w:hint="eastAsia"/>
          <w:sz w:val="32"/>
          <w:szCs w:val="32"/>
        </w:rPr>
        <w:t>（一）加强组织推进。</w:t>
      </w:r>
      <w:r>
        <w:rPr>
          <w:rFonts w:ascii="仿宋_GB2312" w:eastAsia="仿宋_GB2312" w:hAnsi="仿宋_GB2312" w:cs="仿宋_GB2312" w:hint="eastAsia"/>
          <w:sz w:val="32"/>
          <w:szCs w:val="32"/>
        </w:rPr>
        <w:t>国土空间总体规划编制工作关系招远未来发展。各镇（街道、区）、各相关部门必须高度重视，要把此次国土空间总体规划编制工作作为推进改革创新发展的一项重要任务，采取积极措施，营造全市上下积极参与国土空间总体规划编制的良好氛围。</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楷体_GB2312" w:cs="楷体_GB2312" w:hint="eastAsia"/>
          <w:sz w:val="32"/>
          <w:szCs w:val="32"/>
        </w:rPr>
        <w:t>（二）加强部门协同。</w:t>
      </w:r>
      <w:r>
        <w:rPr>
          <w:rFonts w:ascii="仿宋_GB2312" w:eastAsia="仿宋_GB2312" w:hAnsi="仿宋_GB2312" w:cs="仿宋_GB2312" w:hint="eastAsia"/>
          <w:sz w:val="32"/>
          <w:szCs w:val="32"/>
        </w:rPr>
        <w:t>各有关单</w:t>
      </w:r>
      <w:r>
        <w:rPr>
          <w:rFonts w:ascii="仿宋_GB2312" w:eastAsia="仿宋_GB2312" w:hAnsi="仿宋_GB2312" w:cs="仿宋_GB2312" w:hint="eastAsia"/>
          <w:sz w:val="32"/>
          <w:szCs w:val="32"/>
        </w:rPr>
        <w:t>位要积极配合市国土空间总体规划编制试点工作小组开展工作，全力协调解决工作中遇到的重大问题，确保按照时间节点要求，完成资料报送和目标任务。同时，要及时</w:t>
      </w:r>
      <w:r>
        <w:rPr>
          <w:rFonts w:ascii="仿宋_GB2312" w:eastAsia="仿宋_GB2312" w:hAnsi="仿宋_GB2312" w:cs="仿宋_GB2312" w:hint="eastAsia"/>
          <w:spacing w:val="-6"/>
          <w:sz w:val="32"/>
          <w:szCs w:val="32"/>
        </w:rPr>
        <w:t>就规划编制中的问题与上级主管部门沟通对接，积</w:t>
      </w:r>
      <w:r>
        <w:rPr>
          <w:rFonts w:ascii="仿宋_GB2312" w:eastAsia="仿宋_GB2312" w:hAnsi="仿宋_GB2312" w:cs="仿宋_GB2312" w:hint="eastAsia"/>
          <w:spacing w:val="-6"/>
          <w:sz w:val="32"/>
          <w:szCs w:val="32"/>
        </w:rPr>
        <w:lastRenderedPageBreak/>
        <w:t>极争取上级支持。</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楷体_GB2312" w:cs="楷体_GB2312" w:hint="eastAsia"/>
          <w:sz w:val="32"/>
          <w:szCs w:val="32"/>
        </w:rPr>
        <w:t>（三）加强技术支撑。</w:t>
      </w:r>
      <w:r>
        <w:rPr>
          <w:rFonts w:ascii="仿宋_GB2312" w:eastAsia="仿宋_GB2312" w:hAnsi="仿宋_GB2312" w:cs="仿宋_GB2312" w:hint="eastAsia"/>
          <w:sz w:val="32"/>
          <w:szCs w:val="32"/>
        </w:rPr>
        <w:t>市自然资源和规划局负责选择高水平设计团队作为编制国土空间总体规划的技术牵头单位，全面负责规划编制以及各项规划的统筹协调。市发展和改革局、</w:t>
      </w:r>
      <w:r>
        <w:rPr>
          <w:rFonts w:ascii="仿宋_GB2312" w:eastAsia="仿宋_GB2312" w:hAnsi="仿宋_GB2312" w:cs="仿宋_GB2312" w:hint="eastAsia"/>
          <w:sz w:val="32"/>
          <w:szCs w:val="32"/>
        </w:rPr>
        <w:t>水务</w:t>
      </w:r>
      <w:r>
        <w:rPr>
          <w:rFonts w:ascii="仿宋_GB2312" w:eastAsia="仿宋_GB2312" w:hAnsi="仿宋_GB2312" w:cs="仿宋_GB2312" w:hint="eastAsia"/>
          <w:sz w:val="32"/>
          <w:szCs w:val="32"/>
        </w:rPr>
        <w:t>局、交通运输局、农业农村局、烟台市生态环境局招远分局等部门要根据专题分工，与技术牵头单位共同工作，并对法定专项规划进行同步调整。</w:t>
      </w:r>
    </w:p>
    <w:p w:rsidR="00F37D63" w:rsidRDefault="00EA7E9F">
      <w:pPr>
        <w:spacing w:line="560" w:lineRule="exact"/>
        <w:ind w:firstLineChars="200" w:firstLine="640"/>
        <w:rPr>
          <w:rFonts w:ascii="仿宋_GB2312" w:eastAsia="仿宋_GB2312" w:hAnsi="仿宋_GB2312" w:cs="Times New Roman"/>
          <w:sz w:val="32"/>
          <w:szCs w:val="32"/>
        </w:rPr>
      </w:pPr>
      <w:r>
        <w:rPr>
          <w:rFonts w:ascii="楷体_GB2312" w:eastAsia="楷体_GB2312" w:hAnsi="楷体_GB2312" w:cs="楷体_GB2312" w:hint="eastAsia"/>
          <w:sz w:val="32"/>
          <w:szCs w:val="32"/>
        </w:rPr>
        <w:t>（四）加强经</w:t>
      </w:r>
      <w:r>
        <w:rPr>
          <w:rFonts w:ascii="楷体_GB2312" w:eastAsia="楷体_GB2312" w:hAnsi="楷体_GB2312" w:cs="楷体_GB2312" w:hint="eastAsia"/>
          <w:sz w:val="32"/>
          <w:szCs w:val="32"/>
        </w:rPr>
        <w:t>费保障。</w:t>
      </w:r>
      <w:r>
        <w:rPr>
          <w:rFonts w:ascii="仿宋_GB2312" w:eastAsia="仿宋_GB2312" w:hAnsi="楷体_GB2312" w:cs="仿宋_GB2312" w:hint="eastAsia"/>
          <w:sz w:val="32"/>
          <w:szCs w:val="32"/>
        </w:rPr>
        <w:t>市</w:t>
      </w:r>
      <w:r>
        <w:rPr>
          <w:rFonts w:ascii="仿宋_GB2312" w:eastAsia="仿宋_GB2312" w:hAnsi="仿宋_GB2312" w:cs="仿宋_GB2312" w:hint="eastAsia"/>
          <w:sz w:val="32"/>
          <w:szCs w:val="32"/>
        </w:rPr>
        <w:t>财政局负责落实国土空间总体规划编制、信息平台建设以及各相关事项的资金保障，并将今后实施管理中的动态维护等工作经费纳入年度财政计划。</w:t>
      </w:r>
    </w:p>
    <w:p w:rsidR="00F37D63" w:rsidRDefault="00F37D63">
      <w:pPr>
        <w:spacing w:line="560" w:lineRule="exact"/>
        <w:ind w:firstLineChars="200" w:firstLine="640"/>
        <w:rPr>
          <w:rFonts w:ascii="仿宋_GB2312" w:eastAsia="仿宋_GB2312" w:hAnsi="仿宋_GB2312" w:cs="Times New Roman"/>
          <w:sz w:val="32"/>
          <w:szCs w:val="32"/>
        </w:rPr>
      </w:pPr>
    </w:p>
    <w:p w:rsidR="00F37D63" w:rsidRDefault="00EA7E9F">
      <w:pPr>
        <w:spacing w:line="560" w:lineRule="exact"/>
        <w:ind w:leftChars="304" w:left="1598" w:hangingChars="300" w:hanging="960"/>
        <w:rPr>
          <w:rFonts w:ascii="仿宋_GB2312" w:eastAsia="仿宋_GB2312" w:hAnsi="仿宋_GB2312" w:cs="Times New Roman"/>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招远市国土空间总体规划编制试点工作领导小组</w:t>
      </w:r>
    </w:p>
    <w:p w:rsidR="00F37D63" w:rsidRDefault="00EA7E9F">
      <w:pPr>
        <w:spacing w:line="560" w:lineRule="exact"/>
        <w:ind w:leftChars="760" w:left="1596" w:firstLineChars="100" w:firstLine="320"/>
        <w:rPr>
          <w:rFonts w:ascii="仿宋_GB2312" w:eastAsia="仿宋_GB2312" w:hAnsi="仿宋_GB2312" w:cs="Times New Roman"/>
          <w:sz w:val="32"/>
          <w:szCs w:val="32"/>
        </w:rPr>
      </w:pPr>
      <w:r>
        <w:rPr>
          <w:rFonts w:ascii="仿宋_GB2312" w:eastAsia="仿宋_GB2312" w:hAnsi="仿宋_GB2312" w:cs="仿宋_GB2312" w:hint="eastAsia"/>
          <w:sz w:val="32"/>
          <w:szCs w:val="32"/>
        </w:rPr>
        <w:t>成员名单</w:t>
      </w:r>
    </w:p>
    <w:p w:rsidR="00F37D63" w:rsidRDefault="00EA7E9F">
      <w:pPr>
        <w:spacing w:line="560" w:lineRule="exact"/>
        <w:ind w:firstLineChars="500" w:firstLine="1600"/>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各部门前期需提供的基础资料内容表</w:t>
      </w:r>
    </w:p>
    <w:p w:rsidR="00F37D63" w:rsidRDefault="00EA7E9F">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重大专题研究计划及部门分工</w:t>
      </w:r>
    </w:p>
    <w:p w:rsidR="00F37D63" w:rsidRDefault="00F37D63">
      <w:pPr>
        <w:spacing w:line="560" w:lineRule="exact"/>
        <w:ind w:firstLineChars="500" w:firstLine="1600"/>
        <w:rPr>
          <w:rFonts w:ascii="仿宋_GB2312" w:eastAsia="仿宋_GB2312" w:hAnsi="仿宋_GB2312" w:cs="仿宋_GB2312"/>
          <w:sz w:val="32"/>
          <w:szCs w:val="32"/>
        </w:rPr>
      </w:pPr>
    </w:p>
    <w:p w:rsidR="00F37D63" w:rsidRDefault="00F37D63">
      <w:pPr>
        <w:spacing w:line="560" w:lineRule="exact"/>
        <w:ind w:firstLineChars="500" w:firstLine="1600"/>
        <w:rPr>
          <w:rFonts w:ascii="仿宋_GB2312" w:eastAsia="仿宋_GB2312" w:hAnsi="仿宋_GB2312" w:cs="仿宋_GB2312"/>
          <w:sz w:val="32"/>
          <w:szCs w:val="32"/>
        </w:rPr>
      </w:pPr>
    </w:p>
    <w:p w:rsidR="00F37D63" w:rsidRDefault="00EA7E9F">
      <w:pPr>
        <w:wordWrap w:val="0"/>
        <w:spacing w:line="560" w:lineRule="exact"/>
        <w:ind w:firstLineChars="500" w:firstLine="16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招远市自然资源和规划局</w:t>
      </w:r>
      <w:r>
        <w:rPr>
          <w:rFonts w:ascii="仿宋_GB2312" w:eastAsia="仿宋_GB2312" w:hAnsi="仿宋_GB2312" w:cs="仿宋_GB2312" w:hint="eastAsia"/>
          <w:sz w:val="32"/>
          <w:szCs w:val="32"/>
        </w:rPr>
        <w:t xml:space="preserve">    </w:t>
      </w:r>
    </w:p>
    <w:p w:rsidR="00F37D63" w:rsidRDefault="00EA7E9F">
      <w:pPr>
        <w:wordWrap w:val="0"/>
        <w:spacing w:line="560" w:lineRule="exact"/>
        <w:ind w:firstLineChars="500" w:firstLine="16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sidR="007B0C6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p w:rsidR="00F37D63" w:rsidRDefault="00F37D63">
      <w:pPr>
        <w:spacing w:line="560" w:lineRule="exact"/>
        <w:ind w:firstLineChars="500" w:firstLine="1600"/>
        <w:rPr>
          <w:rFonts w:ascii="仿宋_GB2312" w:eastAsia="仿宋_GB2312" w:hAnsi="仿宋_GB2312" w:cs="仿宋_GB2312"/>
          <w:sz w:val="32"/>
          <w:szCs w:val="32"/>
        </w:rPr>
      </w:pPr>
    </w:p>
    <w:p w:rsidR="00F37D63" w:rsidRDefault="00EA7E9F">
      <w:pPr>
        <w:wordWrap w:val="0"/>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bookmarkStart w:id="12" w:name="_GoBack"/>
      <w:bookmarkEnd w:id="12"/>
      <w:r>
        <w:rPr>
          <w:rFonts w:ascii="仿宋_GB2312" w:eastAsia="仿宋_GB2312" w:hAnsi="仿宋_GB2312" w:cs="仿宋_GB2312"/>
          <w:sz w:val="32"/>
          <w:szCs w:val="32"/>
        </w:rPr>
        <w:t xml:space="preserve">  </w:t>
      </w:r>
    </w:p>
    <w:p w:rsidR="00F37D63" w:rsidRDefault="00F37D63">
      <w:pPr>
        <w:spacing w:line="560" w:lineRule="exact"/>
        <w:rPr>
          <w:rFonts w:cs="Times New Roman"/>
        </w:rPr>
        <w:sectPr w:rsidR="00F37D63">
          <w:headerReference w:type="default" r:id="rId8"/>
          <w:footerReference w:type="default" r:id="rId9"/>
          <w:pgSz w:w="11906" w:h="16838"/>
          <w:pgMar w:top="1531" w:right="1531" w:bottom="1531" w:left="1531" w:header="851" w:footer="992" w:gutter="0"/>
          <w:pgNumType w:fmt="numberInDash"/>
          <w:cols w:space="720"/>
          <w:docGrid w:type="lines" w:linePitch="312"/>
        </w:sectPr>
      </w:pPr>
    </w:p>
    <w:p w:rsidR="00F37D63" w:rsidRDefault="00EA7E9F">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1</w:t>
      </w:r>
    </w:p>
    <w:p w:rsidR="00F37D63" w:rsidRDefault="00F37D63">
      <w:pPr>
        <w:spacing w:line="560" w:lineRule="exact"/>
        <w:jc w:val="center"/>
        <w:rPr>
          <w:rFonts w:ascii="方正小标宋简体" w:eastAsia="方正小标宋简体" w:hAnsi="华文仿宋" w:cs="Times New Roman"/>
          <w:sz w:val="44"/>
          <w:szCs w:val="44"/>
        </w:rPr>
      </w:pPr>
    </w:p>
    <w:p w:rsidR="00F37D63" w:rsidRDefault="00EA7E9F">
      <w:pPr>
        <w:spacing w:line="560" w:lineRule="exact"/>
        <w:jc w:val="center"/>
        <w:rPr>
          <w:rFonts w:ascii="方正小标宋简体" w:eastAsia="方正小标宋简体" w:hAnsi="华文仿宋" w:cs="Times New Roman"/>
          <w:sz w:val="44"/>
          <w:szCs w:val="44"/>
        </w:rPr>
      </w:pPr>
      <w:r>
        <w:rPr>
          <w:rFonts w:ascii="方正小标宋简体" w:eastAsia="方正小标宋简体" w:hAnsi="华文仿宋" w:cs="方正小标宋简体" w:hint="eastAsia"/>
          <w:sz w:val="44"/>
          <w:szCs w:val="44"/>
        </w:rPr>
        <w:t>招远市国土空间</w:t>
      </w:r>
    </w:p>
    <w:p w:rsidR="00F37D63" w:rsidRDefault="00EA7E9F">
      <w:pPr>
        <w:spacing w:line="560" w:lineRule="exact"/>
        <w:jc w:val="center"/>
        <w:rPr>
          <w:rFonts w:ascii="方正小标宋简体" w:eastAsia="方正小标宋简体" w:hAnsi="华文仿宋" w:cs="Times New Roman"/>
          <w:sz w:val="44"/>
          <w:szCs w:val="44"/>
        </w:rPr>
      </w:pPr>
      <w:r>
        <w:rPr>
          <w:rFonts w:ascii="方正小标宋简体" w:eastAsia="方正小标宋简体" w:hAnsi="华文仿宋" w:cs="方正小标宋简体" w:hint="eastAsia"/>
          <w:sz w:val="44"/>
          <w:szCs w:val="44"/>
        </w:rPr>
        <w:t>总体规划编制试点工作领导小组成员名单</w:t>
      </w:r>
    </w:p>
    <w:p w:rsidR="00F37D63" w:rsidRDefault="00F37D63">
      <w:pPr>
        <w:spacing w:line="560" w:lineRule="exact"/>
        <w:jc w:val="center"/>
        <w:rPr>
          <w:rFonts w:ascii="方正小标宋简体" w:eastAsia="方正小标宋简体" w:hAnsi="华文仿宋" w:cs="Times New Roman"/>
          <w:sz w:val="36"/>
          <w:szCs w:val="36"/>
        </w:rPr>
      </w:pPr>
    </w:p>
    <w:p w:rsidR="00F37D63" w:rsidRDefault="00EA7E9F">
      <w:pPr>
        <w:tabs>
          <w:tab w:val="left" w:pos="1680"/>
        </w:tabs>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长：贺业增</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市委书记、招远经济技术开发区管委主任</w:t>
      </w:r>
    </w:p>
    <w:p w:rsidR="00F37D63" w:rsidRDefault="00EA7E9F">
      <w:pPr>
        <w:tabs>
          <w:tab w:val="left" w:pos="1680"/>
        </w:tabs>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吴有进</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市委副书记、市政府市长</w:t>
      </w:r>
    </w:p>
    <w:p w:rsidR="00F37D63" w:rsidRDefault="00EA7E9F">
      <w:pPr>
        <w:tabs>
          <w:tab w:val="left" w:pos="1680"/>
        </w:tabs>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副组长：张金亮</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市委常委、市政府副市长</w:t>
      </w:r>
    </w:p>
    <w:p w:rsidR="00F37D63" w:rsidRDefault="00EA7E9F">
      <w:pPr>
        <w:tabs>
          <w:tab w:val="left" w:pos="1680"/>
        </w:tabs>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王秀姬</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市政府副市长</w:t>
      </w:r>
    </w:p>
    <w:p w:rsidR="00F37D63" w:rsidRDefault="00EA7E9F">
      <w:pPr>
        <w:tabs>
          <w:tab w:val="left" w:pos="1680"/>
        </w:tabs>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王国良</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市政府副市长</w:t>
      </w:r>
    </w:p>
    <w:p w:rsidR="00F37D63" w:rsidRDefault="00EA7E9F">
      <w:pPr>
        <w:tabs>
          <w:tab w:val="left" w:pos="1680"/>
        </w:tabs>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李海滨</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市政府副市长</w:t>
      </w:r>
    </w:p>
    <w:p w:rsidR="00F37D63" w:rsidRDefault="00EA7E9F">
      <w:pPr>
        <w:tabs>
          <w:tab w:val="left" w:pos="1680"/>
        </w:tabs>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战</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亮</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市政府副市长</w:t>
      </w:r>
    </w:p>
    <w:p w:rsidR="00F37D63" w:rsidRDefault="00EA7E9F">
      <w:pPr>
        <w:tabs>
          <w:tab w:val="left" w:pos="1680"/>
        </w:tabs>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员：冷海祥</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市政府党组成员、市政府办公室主任</w:t>
      </w:r>
    </w:p>
    <w:p w:rsidR="00F37D63" w:rsidRDefault="00EA7E9F">
      <w:pPr>
        <w:tabs>
          <w:tab w:val="left" w:pos="1680"/>
        </w:tabs>
        <w:spacing w:line="560" w:lineRule="exact"/>
        <w:ind w:leftChars="912" w:left="3195"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t>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胜</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经济技术开发区管委副主任</w:t>
      </w:r>
    </w:p>
    <w:p w:rsidR="00F37D63" w:rsidRDefault="00EA7E9F">
      <w:pPr>
        <w:tabs>
          <w:tab w:val="left" w:pos="1680"/>
        </w:tabs>
        <w:spacing w:line="560" w:lineRule="exact"/>
        <w:ind w:leftChars="912" w:left="3195" w:hangingChars="400" w:hanging="1280"/>
        <w:rPr>
          <w:rFonts w:ascii="仿宋_GB2312" w:eastAsia="仿宋_GB2312" w:hAnsi="仿宋_GB2312" w:cs="Times New Roman"/>
          <w:sz w:val="32"/>
          <w:szCs w:val="32"/>
        </w:rPr>
      </w:pPr>
      <w:r>
        <w:rPr>
          <w:rFonts w:ascii="仿宋_GB2312" w:eastAsia="仿宋_GB2312" w:hAnsi="仿宋_GB2312" w:cs="仿宋_GB2312" w:hint="eastAsia"/>
          <w:sz w:val="32"/>
          <w:szCs w:val="32"/>
        </w:rPr>
        <w:t>徐永亮</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经济技术开发区管委副主任、市发展和改革局局长</w:t>
      </w:r>
    </w:p>
    <w:p w:rsidR="00F37D63" w:rsidRDefault="00EA7E9F">
      <w:pPr>
        <w:tabs>
          <w:tab w:val="left" w:pos="1680"/>
        </w:tabs>
        <w:spacing w:line="56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路</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桥</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市工业和信息化局局长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赵旭波</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市公安局局长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于希江</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市民政局局长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孙浩文</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市财政局局长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李志勇</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市自然资源和规划局局长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侯福江</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市住房和城乡建设局局长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李天骄</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市交通运输局局长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张</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涛</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市水务局局长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lastRenderedPageBreak/>
        <w:t>苑学政</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市农业农村局局长</w:t>
      </w:r>
    </w:p>
    <w:p w:rsidR="00F37D63" w:rsidRDefault="00EA7E9F">
      <w:pPr>
        <w:tabs>
          <w:tab w:val="left" w:pos="1680"/>
        </w:tabs>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黄吉英</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市商务局局长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冯书贵</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市文化和旅游局局长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张旭峰</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市综合行政执法局局长</w:t>
      </w:r>
    </w:p>
    <w:p w:rsidR="00F37D63" w:rsidRDefault="00EA7E9F">
      <w:pPr>
        <w:tabs>
          <w:tab w:val="left" w:pos="1680"/>
        </w:tabs>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韩</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涛</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市统计局局长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冷启迪</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泉山街道</w:t>
      </w:r>
      <w:r>
        <w:rPr>
          <w:rFonts w:ascii="仿宋_GB2312" w:eastAsia="仿宋_GB2312" w:hAnsi="仿宋_GB2312" w:cs="仿宋_GB2312" w:hint="eastAsia"/>
          <w:sz w:val="32"/>
          <w:szCs w:val="32"/>
        </w:rPr>
        <w:t>主任</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孙常晓</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罗峰街道</w:t>
      </w:r>
      <w:r>
        <w:rPr>
          <w:rFonts w:ascii="仿宋_GB2312" w:eastAsia="仿宋_GB2312" w:hAnsi="仿宋_GB2312" w:cs="仿宋_GB2312" w:hint="eastAsia"/>
          <w:sz w:val="32"/>
          <w:szCs w:val="32"/>
        </w:rPr>
        <w:t>主任</w:t>
      </w:r>
    </w:p>
    <w:p w:rsidR="00F37D63" w:rsidRDefault="00EA7E9F">
      <w:pPr>
        <w:tabs>
          <w:tab w:val="left" w:pos="1680"/>
        </w:tabs>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董文颖</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梦芝街道</w:t>
      </w:r>
      <w:r>
        <w:rPr>
          <w:rFonts w:ascii="仿宋_GB2312" w:eastAsia="仿宋_GB2312" w:hAnsi="仿宋_GB2312" w:cs="仿宋_GB2312" w:hint="eastAsia"/>
          <w:sz w:val="32"/>
          <w:szCs w:val="32"/>
        </w:rPr>
        <w:t>主任</w:t>
      </w:r>
    </w:p>
    <w:p w:rsidR="00F37D63" w:rsidRDefault="00EA7E9F">
      <w:pPr>
        <w:tabs>
          <w:tab w:val="left" w:pos="1680"/>
        </w:tabs>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蒋金铎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温泉街道主任</w:t>
      </w:r>
    </w:p>
    <w:p w:rsidR="00F37D63" w:rsidRDefault="00EA7E9F">
      <w:pPr>
        <w:tabs>
          <w:tab w:val="left" w:pos="1680"/>
        </w:tabs>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滕群诗</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大秦家街道</w:t>
      </w:r>
      <w:r>
        <w:rPr>
          <w:rFonts w:ascii="仿宋_GB2312" w:eastAsia="仿宋_GB2312" w:hAnsi="仿宋_GB2312" w:cs="仿宋_GB2312" w:hint="eastAsia"/>
          <w:sz w:val="32"/>
          <w:szCs w:val="32"/>
        </w:rPr>
        <w:t>主任</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蒋学</w:t>
      </w:r>
      <w:r>
        <w:rPr>
          <w:rFonts w:ascii="仿宋_GB2312" w:eastAsia="仿宋_GB2312" w:hAnsi="仿宋_GB2312" w:cs="仿宋_GB2312" w:hint="eastAsia"/>
          <w:sz w:val="32"/>
          <w:szCs w:val="32"/>
        </w:rPr>
        <w:t>庆</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辛庄镇镇长</w:t>
      </w:r>
    </w:p>
    <w:p w:rsidR="00F37D63" w:rsidRDefault="00EA7E9F">
      <w:pPr>
        <w:tabs>
          <w:tab w:val="left" w:pos="1680"/>
        </w:tabs>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翔</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蚕庄镇镇</w:t>
      </w:r>
      <w:r>
        <w:rPr>
          <w:rFonts w:ascii="仿宋_GB2312" w:eastAsia="仿宋_GB2312" w:hAnsi="仿宋_GB2312" w:cs="仿宋_GB2312" w:hint="eastAsia"/>
          <w:sz w:val="32"/>
          <w:szCs w:val="32"/>
        </w:rPr>
        <w:t>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刘鹏波</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张星镇镇</w:t>
      </w:r>
      <w:r>
        <w:rPr>
          <w:rFonts w:ascii="仿宋_GB2312" w:eastAsia="仿宋_GB2312" w:hAnsi="仿宋_GB2312" w:cs="仿宋_GB2312" w:hint="eastAsia"/>
          <w:sz w:val="32"/>
          <w:szCs w:val="32"/>
        </w:rPr>
        <w:t>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郑佰儒</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阜山镇</w:t>
      </w:r>
      <w:r>
        <w:rPr>
          <w:rFonts w:ascii="仿宋_GB2312" w:eastAsia="仿宋_GB2312" w:hAnsi="仿宋_GB2312" w:cs="仿宋_GB2312" w:hint="eastAsia"/>
          <w:sz w:val="32"/>
          <w:szCs w:val="32"/>
        </w:rPr>
        <w:t>挂职副书记</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王书第</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玲珑镇镇</w:t>
      </w:r>
      <w:r>
        <w:rPr>
          <w:rFonts w:ascii="仿宋_GB2312" w:eastAsia="仿宋_GB2312" w:hAnsi="仿宋_GB2312" w:cs="仿宋_GB2312" w:hint="eastAsia"/>
          <w:sz w:val="32"/>
          <w:szCs w:val="32"/>
        </w:rPr>
        <w:t>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盛海翔</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金岭镇镇</w:t>
      </w:r>
      <w:r>
        <w:rPr>
          <w:rFonts w:ascii="仿宋_GB2312" w:eastAsia="仿宋_GB2312" w:hAnsi="仿宋_GB2312" w:cs="仿宋_GB2312" w:hint="eastAsia"/>
          <w:sz w:val="32"/>
          <w:szCs w:val="32"/>
        </w:rPr>
        <w:t>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姜</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微</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齐山镇镇</w:t>
      </w:r>
      <w:r>
        <w:rPr>
          <w:rFonts w:ascii="仿宋_GB2312" w:eastAsia="仿宋_GB2312" w:hAnsi="仿宋_GB2312" w:cs="仿宋_GB2312" w:hint="eastAsia"/>
          <w:sz w:val="32"/>
          <w:szCs w:val="32"/>
        </w:rPr>
        <w:t>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原旭东</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夏甸镇镇</w:t>
      </w:r>
      <w:r>
        <w:rPr>
          <w:rFonts w:ascii="仿宋_GB2312" w:eastAsia="仿宋_GB2312" w:hAnsi="仿宋_GB2312" w:cs="仿宋_GB2312" w:hint="eastAsia"/>
          <w:sz w:val="32"/>
          <w:szCs w:val="32"/>
        </w:rPr>
        <w:t>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栾晓君</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毕郭镇镇</w:t>
      </w:r>
      <w:r>
        <w:rPr>
          <w:rFonts w:ascii="仿宋_GB2312" w:eastAsia="仿宋_GB2312" w:hAnsi="仿宋_GB2312" w:cs="仿宋_GB2312" w:hint="eastAsia"/>
          <w:sz w:val="32"/>
          <w:szCs w:val="32"/>
        </w:rPr>
        <w:t>长</w:t>
      </w:r>
    </w:p>
    <w:p w:rsidR="00F37D63" w:rsidRDefault="00EA7E9F">
      <w:pPr>
        <w:tabs>
          <w:tab w:val="left" w:pos="1680"/>
        </w:tabs>
        <w:spacing w:line="560" w:lineRule="exact"/>
        <w:ind w:firstLineChars="600" w:firstLine="1920"/>
        <w:rPr>
          <w:rFonts w:ascii="仿宋_GB2312" w:eastAsia="仿宋_GB2312" w:hAnsi="仿宋_GB2312" w:cs="Times New Roman"/>
          <w:sz w:val="32"/>
          <w:szCs w:val="32"/>
        </w:rPr>
      </w:pPr>
      <w:r>
        <w:rPr>
          <w:rFonts w:ascii="仿宋_GB2312" w:eastAsia="仿宋_GB2312" w:hAnsi="仿宋_GB2312" w:cs="仿宋_GB2312" w:hint="eastAsia"/>
          <w:sz w:val="32"/>
          <w:szCs w:val="32"/>
        </w:rPr>
        <w:t>李</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明</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烟台市生态环境局招远分局局长</w:t>
      </w:r>
    </w:p>
    <w:p w:rsidR="00F37D63" w:rsidRDefault="00F37D63">
      <w:pPr>
        <w:spacing w:line="560" w:lineRule="exact"/>
        <w:ind w:firstLineChars="177" w:firstLine="566"/>
        <w:rPr>
          <w:rFonts w:ascii="楷体" w:eastAsia="楷体" w:hAnsi="楷体" w:cs="Times New Roman"/>
          <w:sz w:val="32"/>
          <w:szCs w:val="32"/>
        </w:rPr>
      </w:pPr>
    </w:p>
    <w:p w:rsidR="00F37D63" w:rsidRDefault="00F37D63">
      <w:pPr>
        <w:spacing w:line="560" w:lineRule="exact"/>
        <w:ind w:firstLineChars="177" w:firstLine="566"/>
        <w:rPr>
          <w:rFonts w:ascii="楷体" w:eastAsia="楷体" w:hAnsi="楷体" w:cs="Times New Roman"/>
          <w:sz w:val="32"/>
          <w:szCs w:val="32"/>
        </w:rPr>
      </w:pPr>
    </w:p>
    <w:p w:rsidR="00F37D63" w:rsidRDefault="00F37D63">
      <w:pPr>
        <w:spacing w:line="560" w:lineRule="exact"/>
        <w:rPr>
          <w:rFonts w:ascii="楷体" w:eastAsia="楷体" w:hAnsi="楷体" w:cs="Times New Roman"/>
          <w:sz w:val="32"/>
          <w:szCs w:val="32"/>
        </w:rPr>
        <w:sectPr w:rsidR="00F37D63">
          <w:pgSz w:w="11906" w:h="16838"/>
          <w:pgMar w:top="1531" w:right="1531" w:bottom="1531" w:left="1531" w:header="851" w:footer="992" w:gutter="0"/>
          <w:pgNumType w:fmt="numberInDash"/>
          <w:cols w:space="720"/>
          <w:docGrid w:type="lines" w:linePitch="312"/>
        </w:sectPr>
      </w:pPr>
    </w:p>
    <w:p w:rsidR="00F37D63" w:rsidRDefault="00EA7E9F">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2</w:t>
      </w:r>
    </w:p>
    <w:p w:rsidR="00F37D63" w:rsidRDefault="00F37D63">
      <w:pPr>
        <w:spacing w:line="560" w:lineRule="exact"/>
        <w:jc w:val="center"/>
        <w:rPr>
          <w:rFonts w:ascii="方正小标宋简体" w:eastAsia="方正小标宋简体" w:hAnsi="华文仿宋" w:cs="Times New Roman"/>
          <w:sz w:val="36"/>
          <w:szCs w:val="36"/>
        </w:rPr>
      </w:pPr>
    </w:p>
    <w:p w:rsidR="00F37D63" w:rsidRDefault="00EA7E9F">
      <w:pPr>
        <w:spacing w:line="560" w:lineRule="exact"/>
        <w:jc w:val="center"/>
        <w:rPr>
          <w:rFonts w:ascii="方正小标宋简体" w:eastAsia="方正小标宋简体" w:hAnsi="华文仿宋" w:cs="Times New Roman"/>
          <w:sz w:val="44"/>
          <w:szCs w:val="44"/>
        </w:rPr>
      </w:pPr>
      <w:r>
        <w:rPr>
          <w:rFonts w:ascii="方正小标宋简体" w:eastAsia="方正小标宋简体" w:hAnsi="华文仿宋" w:cs="方正小标宋简体" w:hint="eastAsia"/>
          <w:sz w:val="44"/>
          <w:szCs w:val="44"/>
        </w:rPr>
        <w:t>各部门前期需提供的基础资料内容表</w:t>
      </w:r>
    </w:p>
    <w:p w:rsidR="00F37D63" w:rsidRDefault="00F37D63">
      <w:pPr>
        <w:spacing w:line="560" w:lineRule="exact"/>
        <w:jc w:val="center"/>
        <w:rPr>
          <w:rFonts w:ascii="方正小标宋简体" w:eastAsia="方正小标宋简体" w:hAnsi="华文仿宋" w:cs="Times New Roman"/>
          <w:sz w:val="44"/>
          <w:szCs w:val="44"/>
        </w:rPr>
      </w:pPr>
    </w:p>
    <w:tbl>
      <w:tblPr>
        <w:tblW w:w="8928" w:type="dxa"/>
        <w:tblInd w:w="-106" w:type="dxa"/>
        <w:tblLayout w:type="fixed"/>
        <w:tblLook w:val="04A0" w:firstRow="1" w:lastRow="0" w:firstColumn="1" w:lastColumn="0" w:noHBand="0" w:noVBand="1"/>
      </w:tblPr>
      <w:tblGrid>
        <w:gridCol w:w="2448"/>
        <w:gridCol w:w="6480"/>
      </w:tblGrid>
      <w:tr w:rsidR="00F37D63">
        <w:trPr>
          <w:trHeight w:hRule="exact" w:val="819"/>
        </w:trPr>
        <w:tc>
          <w:tcPr>
            <w:tcW w:w="2448" w:type="dxa"/>
            <w:tcBorders>
              <w:top w:val="single" w:sz="4" w:space="0" w:color="auto"/>
              <w:left w:val="single" w:sz="4" w:space="0" w:color="auto"/>
              <w:bottom w:val="single" w:sz="4" w:space="0" w:color="auto"/>
              <w:right w:val="single" w:sz="4" w:space="0" w:color="auto"/>
            </w:tcBorders>
            <w:vAlign w:val="center"/>
          </w:tcPr>
          <w:p w:rsidR="00F37D63" w:rsidRDefault="00EA7E9F">
            <w:pPr>
              <w:spacing w:line="400" w:lineRule="exact"/>
              <w:jc w:val="center"/>
              <w:rPr>
                <w:rFonts w:ascii="黑体" w:eastAsia="黑体" w:hAnsi="黑体" w:cs="Times New Roman"/>
                <w:sz w:val="32"/>
                <w:szCs w:val="32"/>
              </w:rPr>
            </w:pPr>
            <w:r>
              <w:rPr>
                <w:rFonts w:ascii="黑体" w:eastAsia="黑体" w:hAnsi="黑体" w:cs="黑体" w:hint="eastAsia"/>
                <w:sz w:val="32"/>
                <w:szCs w:val="32"/>
              </w:rPr>
              <w:t>部</w:t>
            </w:r>
            <w:r>
              <w:rPr>
                <w:rFonts w:ascii="黑体" w:eastAsia="黑体" w:hAnsi="黑体" w:cs="黑体"/>
                <w:sz w:val="32"/>
                <w:szCs w:val="32"/>
              </w:rPr>
              <w:t xml:space="preserve"> </w:t>
            </w:r>
            <w:r>
              <w:rPr>
                <w:rFonts w:ascii="黑体" w:eastAsia="黑体" w:hAnsi="黑体" w:cs="黑体" w:hint="eastAsia"/>
                <w:sz w:val="32"/>
                <w:szCs w:val="32"/>
              </w:rPr>
              <w:t>门</w:t>
            </w:r>
          </w:p>
        </w:tc>
        <w:tc>
          <w:tcPr>
            <w:tcW w:w="6480" w:type="dxa"/>
            <w:tcBorders>
              <w:top w:val="single" w:sz="4" w:space="0" w:color="auto"/>
              <w:left w:val="nil"/>
              <w:bottom w:val="single" w:sz="4" w:space="0" w:color="auto"/>
              <w:right w:val="single" w:sz="4" w:space="0" w:color="auto"/>
            </w:tcBorders>
            <w:vAlign w:val="center"/>
          </w:tcPr>
          <w:p w:rsidR="00F37D63" w:rsidRDefault="00EA7E9F">
            <w:pPr>
              <w:spacing w:line="400" w:lineRule="exact"/>
              <w:jc w:val="center"/>
              <w:rPr>
                <w:rFonts w:ascii="黑体" w:eastAsia="黑体" w:hAnsi="黑体" w:cs="Times New Roman"/>
                <w:sz w:val="32"/>
                <w:szCs w:val="32"/>
              </w:rPr>
            </w:pPr>
            <w:r>
              <w:rPr>
                <w:rFonts w:ascii="黑体" w:eastAsia="黑体" w:hAnsi="黑体" w:cs="黑体" w:hint="eastAsia"/>
                <w:sz w:val="32"/>
                <w:szCs w:val="32"/>
              </w:rPr>
              <w:t>内</w:t>
            </w:r>
            <w:r>
              <w:rPr>
                <w:rFonts w:ascii="黑体" w:eastAsia="黑体" w:hAnsi="黑体" w:cs="黑体"/>
                <w:sz w:val="32"/>
                <w:szCs w:val="32"/>
              </w:rPr>
              <w:t xml:space="preserve">  </w:t>
            </w:r>
            <w:r>
              <w:rPr>
                <w:rFonts w:ascii="黑体" w:eastAsia="黑体" w:hAnsi="黑体" w:cs="黑体" w:hint="eastAsia"/>
                <w:sz w:val="32"/>
                <w:szCs w:val="32"/>
              </w:rPr>
              <w:t>容</w:t>
            </w:r>
          </w:p>
        </w:tc>
      </w:tr>
      <w:tr w:rsidR="00F37D63">
        <w:trPr>
          <w:trHeight w:hRule="exact" w:val="837"/>
        </w:trPr>
        <w:tc>
          <w:tcPr>
            <w:tcW w:w="2448" w:type="dxa"/>
            <w:tcBorders>
              <w:top w:val="nil"/>
              <w:left w:val="single" w:sz="4" w:space="0" w:color="auto"/>
              <w:bottom w:val="single" w:sz="4" w:space="0" w:color="auto"/>
              <w:right w:val="single" w:sz="4" w:space="0" w:color="auto"/>
            </w:tcBorders>
            <w:vAlign w:val="center"/>
          </w:tcPr>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市发展和改革局</w:t>
            </w:r>
          </w:p>
        </w:tc>
        <w:tc>
          <w:tcPr>
            <w:tcW w:w="6480" w:type="dxa"/>
            <w:tcBorders>
              <w:top w:val="nil"/>
              <w:left w:val="nil"/>
              <w:bottom w:val="single" w:sz="4" w:space="0" w:color="auto"/>
              <w:right w:val="single" w:sz="4" w:space="0" w:color="auto"/>
            </w:tcBorders>
            <w:vAlign w:val="center"/>
          </w:tcPr>
          <w:p w:rsidR="00F37D63" w:rsidRDefault="00EA7E9F">
            <w:pPr>
              <w:spacing w:line="360" w:lineRule="exact"/>
              <w:rPr>
                <w:rFonts w:ascii="仿宋_GB2312" w:eastAsia="仿宋_GB2312" w:hAnsi="仿宋_GB2312" w:cs="Times New Roman"/>
                <w:sz w:val="30"/>
                <w:szCs w:val="30"/>
              </w:rPr>
            </w:pPr>
            <w:r>
              <w:rPr>
                <w:rFonts w:ascii="仿宋_GB2312" w:eastAsia="仿宋_GB2312" w:hAnsi="仿宋_GB2312" w:cs="仿宋_GB2312" w:hint="eastAsia"/>
                <w:sz w:val="30"/>
                <w:szCs w:val="30"/>
              </w:rPr>
              <w:t>未来</w:t>
            </w:r>
            <w:r>
              <w:rPr>
                <w:rFonts w:ascii="仿宋_GB2312" w:eastAsia="仿宋_GB2312" w:hAnsi="仿宋_GB2312" w:cs="仿宋_GB2312"/>
                <w:sz w:val="30"/>
                <w:szCs w:val="30"/>
              </w:rPr>
              <w:t>5</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10</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15</w:t>
            </w:r>
            <w:r>
              <w:rPr>
                <w:rFonts w:ascii="仿宋_GB2312" w:eastAsia="仿宋_GB2312" w:hAnsi="仿宋_GB2312" w:cs="仿宋_GB2312" w:hint="eastAsia"/>
                <w:sz w:val="30"/>
                <w:szCs w:val="30"/>
              </w:rPr>
              <w:t>年，拟落位在招远市主城区的重点项目库。</w:t>
            </w:r>
          </w:p>
        </w:tc>
      </w:tr>
      <w:tr w:rsidR="00F37D63">
        <w:trPr>
          <w:trHeight w:hRule="exact" w:val="1827"/>
        </w:trPr>
        <w:tc>
          <w:tcPr>
            <w:tcW w:w="2448" w:type="dxa"/>
            <w:tcBorders>
              <w:top w:val="nil"/>
              <w:left w:val="single" w:sz="4" w:space="0" w:color="auto"/>
              <w:bottom w:val="single" w:sz="4" w:space="0" w:color="auto"/>
              <w:right w:val="single" w:sz="4" w:space="0" w:color="auto"/>
            </w:tcBorders>
            <w:vAlign w:val="center"/>
          </w:tcPr>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2"/>
                <w:szCs w:val="32"/>
              </w:rPr>
              <w:t>烟台市生态环境局招远分局</w:t>
            </w:r>
          </w:p>
        </w:tc>
        <w:tc>
          <w:tcPr>
            <w:tcW w:w="6480" w:type="dxa"/>
            <w:tcBorders>
              <w:top w:val="nil"/>
              <w:left w:val="nil"/>
              <w:bottom w:val="single" w:sz="4" w:space="0" w:color="auto"/>
              <w:right w:val="single" w:sz="4" w:space="0" w:color="auto"/>
            </w:tcBorders>
            <w:vAlign w:val="center"/>
          </w:tcPr>
          <w:p w:rsidR="00F37D63" w:rsidRDefault="00EA7E9F">
            <w:pPr>
              <w:spacing w:line="360" w:lineRule="exact"/>
              <w:rPr>
                <w:rFonts w:ascii="仿宋_GB2312" w:eastAsia="仿宋_GB2312" w:hAnsi="仿宋_GB2312" w:cs="Times New Roman"/>
                <w:sz w:val="30"/>
                <w:szCs w:val="30"/>
              </w:rPr>
            </w:pPr>
            <w:r>
              <w:rPr>
                <w:rFonts w:ascii="仿宋_GB2312" w:eastAsia="仿宋_GB2312" w:hAnsi="仿宋_GB2312" w:cs="仿宋_GB2312" w:hint="eastAsia"/>
                <w:sz w:val="30"/>
                <w:szCs w:val="30"/>
              </w:rPr>
              <w:t>市域生态红线，包括海洋保护规划和海洋生态红线，需全套规划成果，包括文本、图集和矢量文件。本部门在空间管控方面的底线（对需要严格管控的内容进行详细说明），包括指标和坐标。</w:t>
            </w:r>
          </w:p>
        </w:tc>
      </w:tr>
      <w:tr w:rsidR="00F37D63">
        <w:trPr>
          <w:trHeight w:hRule="exact" w:val="3371"/>
        </w:trPr>
        <w:tc>
          <w:tcPr>
            <w:tcW w:w="2448" w:type="dxa"/>
            <w:tcBorders>
              <w:top w:val="nil"/>
              <w:left w:val="single" w:sz="4" w:space="0" w:color="auto"/>
              <w:bottom w:val="single" w:sz="4" w:space="0" w:color="auto"/>
              <w:right w:val="single" w:sz="4" w:space="0" w:color="auto"/>
            </w:tcBorders>
            <w:vAlign w:val="center"/>
          </w:tcPr>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市自然资源</w:t>
            </w:r>
          </w:p>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和规划局</w:t>
            </w:r>
          </w:p>
        </w:tc>
        <w:tc>
          <w:tcPr>
            <w:tcW w:w="6480" w:type="dxa"/>
            <w:tcBorders>
              <w:top w:val="nil"/>
              <w:left w:val="nil"/>
              <w:bottom w:val="single" w:sz="4" w:space="0" w:color="auto"/>
              <w:right w:val="single" w:sz="4" w:space="0" w:color="auto"/>
            </w:tcBorders>
            <w:vAlign w:val="center"/>
          </w:tcPr>
          <w:p w:rsidR="00F37D63" w:rsidRDefault="00EA7E9F">
            <w:pPr>
              <w:spacing w:line="360" w:lineRule="exact"/>
              <w:rPr>
                <w:rFonts w:ascii="仿宋_GB2312" w:eastAsia="仿宋_GB2312" w:hAnsi="仿宋_GB2312" w:cs="Times New Roman"/>
                <w:sz w:val="30"/>
                <w:szCs w:val="30"/>
              </w:rPr>
            </w:pPr>
            <w:r>
              <w:rPr>
                <w:rFonts w:ascii="仿宋_GB2312" w:eastAsia="仿宋_GB2312" w:hAnsi="仿宋_GB2312" w:cs="仿宋_GB2312" w:hint="eastAsia"/>
                <w:sz w:val="30"/>
                <w:szCs w:val="30"/>
              </w:rPr>
              <w:t>最新调整完善的基本农田和耕地后备资源等矢量文件。目前全市范围内，已征收土地的范围、已发证土地范围，需提供矢量文件。全市林地保护利用矢量文件；耕地保护与利用、林地保护与利用在空间管控方面的底线，包括指标和坐标。海洋功能区划，海岸带保护和利用规划，提供矢量文件。在空间管控方面的底线（对需要严格管控的内容进行详细说明），包括指标和坐标。</w:t>
            </w:r>
          </w:p>
        </w:tc>
      </w:tr>
      <w:tr w:rsidR="00F37D63">
        <w:trPr>
          <w:trHeight w:hRule="exact" w:val="1234"/>
        </w:trPr>
        <w:tc>
          <w:tcPr>
            <w:tcW w:w="2448" w:type="dxa"/>
            <w:tcBorders>
              <w:top w:val="single" w:sz="4" w:space="0" w:color="auto"/>
              <w:left w:val="single" w:sz="4" w:space="0" w:color="auto"/>
              <w:bottom w:val="single" w:sz="4" w:space="0" w:color="auto"/>
              <w:right w:val="single" w:sz="4" w:space="0" w:color="auto"/>
            </w:tcBorders>
            <w:vAlign w:val="center"/>
          </w:tcPr>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市交通运输局</w:t>
            </w:r>
          </w:p>
        </w:tc>
        <w:tc>
          <w:tcPr>
            <w:tcW w:w="6480" w:type="dxa"/>
            <w:tcBorders>
              <w:top w:val="nil"/>
              <w:left w:val="nil"/>
              <w:bottom w:val="single" w:sz="4" w:space="0" w:color="auto"/>
              <w:right w:val="single" w:sz="4" w:space="0" w:color="auto"/>
            </w:tcBorders>
            <w:vAlign w:val="center"/>
          </w:tcPr>
          <w:p w:rsidR="00F37D63" w:rsidRDefault="00EA7E9F">
            <w:pPr>
              <w:spacing w:line="360" w:lineRule="exact"/>
              <w:rPr>
                <w:rFonts w:ascii="仿宋_GB2312" w:eastAsia="仿宋_GB2312" w:hAnsi="仿宋_GB2312" w:cs="Times New Roman"/>
                <w:sz w:val="30"/>
                <w:szCs w:val="30"/>
              </w:rPr>
            </w:pPr>
            <w:r>
              <w:rPr>
                <w:rFonts w:ascii="仿宋_GB2312" w:eastAsia="仿宋_GB2312" w:hAnsi="仿宋_GB2312" w:cs="仿宋_GB2312" w:hint="eastAsia"/>
                <w:sz w:val="30"/>
                <w:szCs w:val="30"/>
              </w:rPr>
              <w:t>各类交通设施的空间规划落位，提供矢量文件；全市公路网规划及各类需要落地的项目，提供矢量文件或选线意向。（矢量成果）</w:t>
            </w:r>
          </w:p>
        </w:tc>
      </w:tr>
      <w:tr w:rsidR="00F37D63">
        <w:trPr>
          <w:trHeight w:hRule="exact" w:val="878"/>
        </w:trPr>
        <w:tc>
          <w:tcPr>
            <w:tcW w:w="2448" w:type="dxa"/>
            <w:tcBorders>
              <w:top w:val="single" w:sz="4" w:space="0" w:color="auto"/>
              <w:left w:val="single" w:sz="4" w:space="0" w:color="auto"/>
              <w:bottom w:val="single" w:sz="4" w:space="0" w:color="auto"/>
              <w:right w:val="single" w:sz="4" w:space="0" w:color="auto"/>
            </w:tcBorders>
            <w:vAlign w:val="center"/>
          </w:tcPr>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市工业和</w:t>
            </w:r>
          </w:p>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信息化局</w:t>
            </w:r>
          </w:p>
        </w:tc>
        <w:tc>
          <w:tcPr>
            <w:tcW w:w="6480" w:type="dxa"/>
            <w:tcBorders>
              <w:top w:val="nil"/>
              <w:left w:val="nil"/>
              <w:bottom w:val="single" w:sz="4" w:space="0" w:color="auto"/>
              <w:right w:val="single" w:sz="4" w:space="0" w:color="auto"/>
            </w:tcBorders>
            <w:vAlign w:val="center"/>
          </w:tcPr>
          <w:p w:rsidR="00F37D63" w:rsidRDefault="00EA7E9F">
            <w:pPr>
              <w:spacing w:line="360" w:lineRule="exact"/>
              <w:rPr>
                <w:rFonts w:ascii="仿宋_GB2312" w:eastAsia="仿宋_GB2312" w:hAnsi="仿宋_GB2312" w:cs="Times New Roman"/>
                <w:sz w:val="30"/>
                <w:szCs w:val="30"/>
              </w:rPr>
            </w:pPr>
            <w:r>
              <w:rPr>
                <w:rFonts w:ascii="仿宋_GB2312" w:eastAsia="仿宋_GB2312" w:hAnsi="仿宋_GB2312" w:cs="仿宋_GB2312" w:hint="eastAsia"/>
                <w:sz w:val="30"/>
                <w:szCs w:val="30"/>
              </w:rPr>
              <w:t>摸清城区各类企业基本情况、未来的产业发展计划、可用于现状产业转型的企业情况等。</w:t>
            </w:r>
          </w:p>
        </w:tc>
      </w:tr>
      <w:tr w:rsidR="00F37D63">
        <w:trPr>
          <w:trHeight w:hRule="exact" w:val="873"/>
        </w:trPr>
        <w:tc>
          <w:tcPr>
            <w:tcW w:w="2448" w:type="dxa"/>
            <w:tcBorders>
              <w:top w:val="single" w:sz="4" w:space="0" w:color="auto"/>
              <w:left w:val="single" w:sz="4" w:space="0" w:color="auto"/>
              <w:bottom w:val="single" w:sz="4" w:space="0" w:color="auto"/>
              <w:right w:val="single" w:sz="4" w:space="0" w:color="auto"/>
            </w:tcBorders>
            <w:vAlign w:val="center"/>
          </w:tcPr>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市住房和</w:t>
            </w:r>
          </w:p>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城乡建设局</w:t>
            </w:r>
          </w:p>
        </w:tc>
        <w:tc>
          <w:tcPr>
            <w:tcW w:w="6480" w:type="dxa"/>
            <w:tcBorders>
              <w:top w:val="nil"/>
              <w:left w:val="nil"/>
              <w:bottom w:val="single" w:sz="4" w:space="0" w:color="auto"/>
              <w:right w:val="single" w:sz="4" w:space="0" w:color="auto"/>
            </w:tcBorders>
            <w:vAlign w:val="center"/>
          </w:tcPr>
          <w:p w:rsidR="00F37D63" w:rsidRDefault="00EA7E9F">
            <w:pPr>
              <w:spacing w:line="360" w:lineRule="exact"/>
              <w:rPr>
                <w:rFonts w:ascii="仿宋_GB2312" w:eastAsia="仿宋_GB2312" w:hAnsi="仿宋_GB2312" w:cs="Times New Roman"/>
                <w:sz w:val="30"/>
                <w:szCs w:val="30"/>
              </w:rPr>
            </w:pPr>
            <w:r>
              <w:rPr>
                <w:rFonts w:ascii="仿宋_GB2312" w:eastAsia="仿宋_GB2312" w:hAnsi="仿宋_GB2312" w:cs="仿宋_GB2312" w:hint="eastAsia"/>
                <w:sz w:val="30"/>
                <w:szCs w:val="30"/>
              </w:rPr>
              <w:t>未来</w:t>
            </w:r>
            <w:r>
              <w:rPr>
                <w:rFonts w:ascii="仿宋_GB2312" w:eastAsia="仿宋_GB2312" w:hAnsi="仿宋_GB2312" w:cs="仿宋_GB2312"/>
                <w:sz w:val="30"/>
                <w:szCs w:val="30"/>
              </w:rPr>
              <w:t>5</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10</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15</w:t>
            </w:r>
            <w:r>
              <w:rPr>
                <w:rFonts w:ascii="仿宋_GB2312" w:eastAsia="仿宋_GB2312" w:hAnsi="仿宋_GB2312" w:cs="仿宋_GB2312" w:hint="eastAsia"/>
                <w:sz w:val="30"/>
                <w:szCs w:val="30"/>
              </w:rPr>
              <w:t>年，拟落位在城区的重点项目库。</w:t>
            </w:r>
          </w:p>
        </w:tc>
      </w:tr>
      <w:tr w:rsidR="00F37D63">
        <w:trPr>
          <w:trHeight w:hRule="exact" w:val="847"/>
        </w:trPr>
        <w:tc>
          <w:tcPr>
            <w:tcW w:w="2448" w:type="dxa"/>
            <w:tcBorders>
              <w:top w:val="single" w:sz="4" w:space="0" w:color="auto"/>
              <w:left w:val="single" w:sz="4" w:space="0" w:color="auto"/>
              <w:bottom w:val="single" w:sz="4" w:space="0" w:color="auto"/>
              <w:right w:val="single" w:sz="4" w:space="0" w:color="auto"/>
            </w:tcBorders>
            <w:vAlign w:val="center"/>
          </w:tcPr>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市农业农村局</w:t>
            </w:r>
          </w:p>
        </w:tc>
        <w:tc>
          <w:tcPr>
            <w:tcW w:w="6480" w:type="dxa"/>
            <w:tcBorders>
              <w:top w:val="single" w:sz="4" w:space="0" w:color="auto"/>
              <w:left w:val="nil"/>
              <w:bottom w:val="single" w:sz="4" w:space="0" w:color="auto"/>
              <w:right w:val="single" w:sz="4" w:space="0" w:color="auto"/>
            </w:tcBorders>
            <w:vAlign w:val="center"/>
          </w:tcPr>
          <w:p w:rsidR="00F37D63" w:rsidRDefault="00EA7E9F">
            <w:pPr>
              <w:spacing w:line="360" w:lineRule="exact"/>
              <w:rPr>
                <w:rFonts w:ascii="仿宋_GB2312" w:eastAsia="仿宋_GB2312" w:hAnsi="仿宋_GB2312" w:cs="Times New Roman"/>
                <w:sz w:val="30"/>
                <w:szCs w:val="30"/>
              </w:rPr>
            </w:pPr>
            <w:r>
              <w:rPr>
                <w:rFonts w:ascii="仿宋_GB2312" w:eastAsia="仿宋_GB2312" w:hAnsi="仿宋_GB2312" w:cs="仿宋_GB2312" w:hint="eastAsia"/>
                <w:sz w:val="30"/>
                <w:szCs w:val="30"/>
              </w:rPr>
              <w:t>招远市农业发展规划成果；“两区”划定相关资料。</w:t>
            </w:r>
          </w:p>
        </w:tc>
      </w:tr>
      <w:tr w:rsidR="00F37D63">
        <w:trPr>
          <w:trHeight w:hRule="exact" w:val="692"/>
        </w:trPr>
        <w:tc>
          <w:tcPr>
            <w:tcW w:w="2448" w:type="dxa"/>
            <w:tcBorders>
              <w:top w:val="single" w:sz="4" w:space="0" w:color="auto"/>
              <w:left w:val="single" w:sz="4" w:space="0" w:color="auto"/>
              <w:bottom w:val="single" w:sz="4" w:space="0" w:color="auto"/>
              <w:right w:val="single" w:sz="4" w:space="0" w:color="auto"/>
            </w:tcBorders>
            <w:vAlign w:val="center"/>
          </w:tcPr>
          <w:p w:rsidR="00F37D63" w:rsidRDefault="00EA7E9F">
            <w:pPr>
              <w:spacing w:line="3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市公安局</w:t>
            </w:r>
          </w:p>
        </w:tc>
        <w:tc>
          <w:tcPr>
            <w:tcW w:w="6480" w:type="dxa"/>
            <w:tcBorders>
              <w:top w:val="single" w:sz="4" w:space="0" w:color="auto"/>
              <w:left w:val="nil"/>
              <w:bottom w:val="single" w:sz="4" w:space="0" w:color="auto"/>
              <w:right w:val="single" w:sz="4" w:space="0" w:color="auto"/>
            </w:tcBorders>
            <w:vAlign w:val="center"/>
          </w:tcPr>
          <w:p w:rsidR="00F37D63" w:rsidRDefault="00EA7E9F">
            <w:pPr>
              <w:spacing w:line="360" w:lineRule="exact"/>
              <w:rPr>
                <w:rFonts w:ascii="仿宋_GB2312" w:eastAsia="仿宋_GB2312" w:hAnsi="仿宋_GB2312" w:cs="Times New Roman"/>
                <w:sz w:val="30"/>
                <w:szCs w:val="30"/>
              </w:rPr>
            </w:pPr>
            <w:r>
              <w:rPr>
                <w:rFonts w:ascii="仿宋_GB2312" w:eastAsia="仿宋_GB2312" w:hAnsi="仿宋_GB2312" w:cs="仿宋_GB2312" w:hint="eastAsia"/>
                <w:sz w:val="30"/>
                <w:szCs w:val="30"/>
              </w:rPr>
              <w:t>市域、各乡镇、街道户籍人口、流动人口资料。</w:t>
            </w:r>
          </w:p>
        </w:tc>
      </w:tr>
    </w:tbl>
    <w:p w:rsidR="00F37D63" w:rsidRDefault="00F37D63">
      <w:pPr>
        <w:spacing w:line="560" w:lineRule="exact"/>
        <w:rPr>
          <w:rFonts w:ascii="楷体" w:eastAsia="楷体" w:hAnsi="楷体" w:cs="Times New Roman"/>
          <w:sz w:val="32"/>
          <w:szCs w:val="32"/>
        </w:rPr>
        <w:sectPr w:rsidR="00F37D63">
          <w:pgSz w:w="11906" w:h="16838"/>
          <w:pgMar w:top="1531" w:right="1531" w:bottom="1531" w:left="1531" w:header="851" w:footer="992" w:gutter="0"/>
          <w:pgNumType w:fmt="numberInDash"/>
          <w:cols w:space="720"/>
          <w:docGrid w:type="lines" w:linePitch="312"/>
        </w:sectPr>
      </w:pPr>
    </w:p>
    <w:p w:rsidR="00F37D63" w:rsidRDefault="00EA7E9F">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3</w:t>
      </w:r>
    </w:p>
    <w:p w:rsidR="00F37D63" w:rsidRDefault="00EA7E9F">
      <w:pPr>
        <w:spacing w:line="560" w:lineRule="exact"/>
        <w:jc w:val="center"/>
        <w:rPr>
          <w:rFonts w:ascii="方正小标宋简体" w:eastAsia="方正小标宋简体" w:hAnsi="华文仿宋" w:cs="Times New Roman"/>
          <w:sz w:val="44"/>
          <w:szCs w:val="44"/>
        </w:rPr>
      </w:pPr>
      <w:r>
        <w:rPr>
          <w:rFonts w:ascii="方正小标宋简体" w:eastAsia="方正小标宋简体" w:hAnsi="华文仿宋" w:cs="方正小标宋简体" w:hint="eastAsia"/>
          <w:sz w:val="44"/>
          <w:szCs w:val="44"/>
        </w:rPr>
        <w:t>重大专题研究计划及部门分工</w:t>
      </w:r>
    </w:p>
    <w:p w:rsidR="00F37D63" w:rsidRDefault="00F37D63">
      <w:pPr>
        <w:spacing w:line="560" w:lineRule="exact"/>
        <w:ind w:firstLineChars="200" w:firstLine="640"/>
        <w:rPr>
          <w:rFonts w:ascii="仿宋_GB2312" w:eastAsia="仿宋_GB2312" w:hAnsi="仿宋_GB2312" w:cs="Times New Roman"/>
          <w:sz w:val="32"/>
          <w:szCs w:val="32"/>
        </w:rPr>
      </w:pPr>
    </w:p>
    <w:p w:rsidR="00F37D63" w:rsidRDefault="00EA7E9F">
      <w:pPr>
        <w:spacing w:line="560" w:lineRule="exact"/>
        <w:ind w:firstLineChars="200" w:firstLine="640"/>
        <w:rPr>
          <w:rFonts w:ascii="楷体_GB2312" w:eastAsia="楷体_GB2312" w:hAnsi="仿宋_GB2312" w:cs="Times New Roman"/>
          <w:b/>
          <w:bCs/>
          <w:sz w:val="32"/>
          <w:szCs w:val="32"/>
        </w:rPr>
      </w:pPr>
      <w:r>
        <w:rPr>
          <w:rFonts w:ascii="黑体" w:eastAsia="黑体" w:hAnsi="楷体_GB2312" w:cs="黑体" w:hint="eastAsia"/>
          <w:sz w:val="32"/>
          <w:szCs w:val="32"/>
        </w:rPr>
        <w:t>一</w:t>
      </w:r>
      <w:r>
        <w:rPr>
          <w:rFonts w:ascii="黑体" w:eastAsia="黑体" w:hAnsi="楷体_GB2312" w:cs="黑体"/>
          <w:sz w:val="32"/>
          <w:szCs w:val="32"/>
        </w:rPr>
        <w:t>.</w:t>
      </w:r>
      <w:r>
        <w:rPr>
          <w:rFonts w:ascii="黑体" w:eastAsia="黑体" w:hAnsi="楷体_GB2312" w:cs="黑体" w:hint="eastAsia"/>
          <w:sz w:val="32"/>
          <w:szCs w:val="32"/>
        </w:rPr>
        <w:t>新时代招远市空间发展战略研究</w:t>
      </w:r>
      <w:r>
        <w:rPr>
          <w:rFonts w:ascii="楷体_GB2312" w:eastAsia="楷体_GB2312" w:hAnsi="仿宋_GB2312" w:cs="楷体_GB2312" w:hint="eastAsia"/>
          <w:sz w:val="32"/>
          <w:szCs w:val="32"/>
        </w:rPr>
        <w:t>（牵头部门：市自然资源和规划局）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秉持问题导向与目标导向相结合的视角，以解决现实问题为抓手，以促进招远市区域地位提升、经济转型升级、环境品质提高为价值导向，研究影响招远市未来发展的重大战略性和关键性问题，制定支撑全域统筹的发展策略与空间框架，指导空间资源的整合与精准投放。</w:t>
      </w:r>
    </w:p>
    <w:p w:rsidR="00F37D63" w:rsidRDefault="00EA7E9F">
      <w:pPr>
        <w:spacing w:line="560" w:lineRule="exact"/>
        <w:ind w:firstLineChars="200" w:firstLine="640"/>
        <w:rPr>
          <w:rFonts w:ascii="楷体_GB2312" w:eastAsia="楷体_GB2312" w:hAnsi="仿宋_GB2312" w:cs="Times New Roman"/>
          <w:b/>
          <w:bCs/>
          <w:sz w:val="32"/>
          <w:szCs w:val="32"/>
        </w:rPr>
      </w:pPr>
      <w:r>
        <w:rPr>
          <w:rFonts w:ascii="黑体" w:eastAsia="黑体" w:hAnsi="楷体_GB2312" w:cs="黑体" w:hint="eastAsia"/>
          <w:sz w:val="32"/>
          <w:szCs w:val="32"/>
        </w:rPr>
        <w:t>二、城镇开发边界划定研究（重点专题）</w:t>
      </w:r>
      <w:r>
        <w:rPr>
          <w:rFonts w:ascii="楷体_GB2312" w:eastAsia="楷体_GB2312" w:hAnsi="仿宋_GB2312" w:cs="楷体_GB2312" w:hint="eastAsia"/>
          <w:sz w:val="32"/>
          <w:szCs w:val="32"/>
        </w:rPr>
        <w:t>（牵头部门：市自然资源和规划局）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根据招远市区域自然条件、经济发展条件、“多规合一”研究等内容，科学预测城市发展规模，梳理国外案例和国内试点城市经验，研究城镇开发边界的划定方法和政策管治内涵，在招远市区、各建制镇划定城镇开发边界，促进项</w:t>
      </w:r>
      <w:r>
        <w:rPr>
          <w:rFonts w:ascii="仿宋_GB2312" w:eastAsia="仿宋_GB2312" w:hAnsi="仿宋_GB2312" w:cs="仿宋_GB2312" w:hint="eastAsia"/>
          <w:sz w:val="32"/>
          <w:szCs w:val="32"/>
        </w:rPr>
        <w:t>目落地。</w:t>
      </w:r>
    </w:p>
    <w:p w:rsidR="00F37D63" w:rsidRDefault="00EA7E9F">
      <w:pPr>
        <w:spacing w:line="560" w:lineRule="exact"/>
        <w:ind w:firstLineChars="200" w:firstLine="640"/>
        <w:rPr>
          <w:rFonts w:ascii="仿宋_GB2312" w:eastAsia="仿宋_GB2312" w:hAnsi="仿宋_GB2312" w:cs="Times New Roman"/>
          <w:b/>
          <w:bCs/>
          <w:sz w:val="32"/>
          <w:szCs w:val="32"/>
        </w:rPr>
      </w:pPr>
      <w:r>
        <w:rPr>
          <w:rFonts w:ascii="黑体" w:eastAsia="黑体" w:hAnsi="楷体_GB2312" w:cs="黑体" w:hint="eastAsia"/>
          <w:sz w:val="32"/>
          <w:szCs w:val="32"/>
        </w:rPr>
        <w:t>三、生态保护与管控研究</w:t>
      </w:r>
      <w:r>
        <w:rPr>
          <w:rFonts w:ascii="楷体_GB2312" w:eastAsia="楷体_GB2312" w:hAnsi="仿宋_GB2312" w:cs="楷体_GB2312" w:hint="eastAsia"/>
          <w:sz w:val="32"/>
          <w:szCs w:val="32"/>
        </w:rPr>
        <w:t>（牵头部门：市自然资源和规划局、烟台市生态环境局招远分局）</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分析招远市生态环境现状特征，识别招远市重要生态基底及廊道、斑块，提出招远市与周边区域在生态安全格局方面的协作策略，明确招远市全域生态用途空间管制，明确各类自然保护地</w:t>
      </w:r>
      <w:r>
        <w:rPr>
          <w:rFonts w:ascii="仿宋_GB2312" w:eastAsia="仿宋_GB2312" w:hAnsi="仿宋_GB2312" w:cs="仿宋_GB2312" w:hint="eastAsia"/>
          <w:spacing w:val="-6"/>
          <w:sz w:val="32"/>
          <w:szCs w:val="32"/>
        </w:rPr>
        <w:t>范围边界，提出生态管控策略措施，协同生态保护红线的划定落地。</w:t>
      </w:r>
    </w:p>
    <w:p w:rsidR="00F37D63" w:rsidRDefault="00EA7E9F">
      <w:pPr>
        <w:spacing w:line="560" w:lineRule="exact"/>
        <w:ind w:firstLineChars="200" w:firstLine="640"/>
        <w:rPr>
          <w:rFonts w:ascii="楷体_GB2312" w:eastAsia="楷体_GB2312" w:hAnsi="仿宋_GB2312" w:cs="Times New Roman"/>
          <w:b/>
          <w:bCs/>
          <w:sz w:val="32"/>
          <w:szCs w:val="32"/>
        </w:rPr>
      </w:pPr>
      <w:r>
        <w:rPr>
          <w:rFonts w:ascii="黑体" w:eastAsia="黑体" w:hAnsi="楷体_GB2312" w:cs="黑体" w:hint="eastAsia"/>
          <w:sz w:val="32"/>
          <w:szCs w:val="32"/>
        </w:rPr>
        <w:t>四、耕地保护与农业空间管控研究</w:t>
      </w:r>
      <w:r>
        <w:rPr>
          <w:rFonts w:ascii="楷体_GB2312" w:eastAsia="楷体_GB2312" w:hAnsi="仿宋_GB2312" w:cs="楷体_GB2312" w:hint="eastAsia"/>
          <w:sz w:val="32"/>
          <w:szCs w:val="32"/>
        </w:rPr>
        <w:t>（牵头部门：市自然资源和规划局</w:t>
      </w:r>
      <w:r>
        <w:rPr>
          <w:rFonts w:ascii="楷体_GB2312" w:eastAsia="楷体_GB2312" w:hAnsi="仿宋_GB2312" w:cs="楷体_GB2312" w:hint="eastAsia"/>
          <w:sz w:val="32"/>
          <w:szCs w:val="32"/>
        </w:rPr>
        <w:t>、农业农村局</w:t>
      </w:r>
      <w:r>
        <w:rPr>
          <w:rFonts w:ascii="楷体_GB2312" w:eastAsia="楷体_GB2312" w:hAnsi="仿宋_GB2312" w:cs="楷体_GB2312" w:hint="eastAsia"/>
          <w:sz w:val="32"/>
          <w:szCs w:val="32"/>
        </w:rPr>
        <w:t>）</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lastRenderedPageBreak/>
        <w:t>系统研究招远市耕地数量、质量的空间分布格局，分析粮食生产需求、目标与耕地产能保护面临的形势，研究提出耕地和基本农田保护规模与空间格局；针对不同区域耕地和农业发展特点，研究招远市农业空间分区，提出加强农业空间保护和空间管控的政策措施，促进耕地保护和农业供给侧结构性改革。</w:t>
      </w:r>
    </w:p>
    <w:p w:rsidR="00F37D63" w:rsidRDefault="00EA7E9F">
      <w:pPr>
        <w:spacing w:line="560" w:lineRule="exact"/>
        <w:ind w:firstLineChars="200" w:firstLine="640"/>
        <w:rPr>
          <w:rFonts w:ascii="楷体_GB2312" w:eastAsia="楷体_GB2312" w:hAnsi="仿宋_GB2312" w:cs="Times New Roman"/>
          <w:b/>
          <w:bCs/>
          <w:sz w:val="32"/>
          <w:szCs w:val="32"/>
        </w:rPr>
      </w:pPr>
      <w:r>
        <w:rPr>
          <w:rFonts w:ascii="黑体" w:eastAsia="黑体" w:hAnsi="楷体_GB2312" w:cs="黑体" w:hint="eastAsia"/>
          <w:sz w:val="32"/>
          <w:szCs w:val="32"/>
        </w:rPr>
        <w:t>五、国土综合整治及生态修复研究</w:t>
      </w:r>
      <w:r>
        <w:rPr>
          <w:rFonts w:ascii="楷体_GB2312" w:eastAsia="楷体_GB2312" w:hAnsi="仿宋_GB2312" w:cs="楷体_GB2312" w:hint="eastAsia"/>
          <w:sz w:val="32"/>
          <w:szCs w:val="32"/>
        </w:rPr>
        <w:t>（牵头部门：</w:t>
      </w:r>
      <w:r>
        <w:rPr>
          <w:rFonts w:ascii="楷体_GB2312" w:eastAsia="楷体_GB2312" w:hAnsi="仿宋_GB2312" w:cs="楷体_GB2312" w:hint="eastAsia"/>
          <w:sz w:val="32"/>
          <w:szCs w:val="32"/>
        </w:rPr>
        <w:t>市</w:t>
      </w:r>
      <w:r>
        <w:rPr>
          <w:rFonts w:ascii="楷体_GB2312" w:eastAsia="楷体_GB2312" w:hAnsi="仿宋_GB2312" w:cs="楷体_GB2312" w:hint="eastAsia"/>
          <w:sz w:val="32"/>
          <w:szCs w:val="32"/>
        </w:rPr>
        <w:t>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分析招远市国土问题成因，按照“山水林田湖草生命共同体”的要求，提出招远市全域国土综合整治和生态保护修复的重点区域、目标任务、要求、重大工程布局等；提出生态保护修复要求，构建生态保</w:t>
      </w:r>
      <w:r>
        <w:rPr>
          <w:rFonts w:ascii="仿宋_GB2312" w:eastAsia="仿宋_GB2312" w:hAnsi="仿宋_GB2312" w:cs="仿宋_GB2312" w:hint="eastAsia"/>
          <w:sz w:val="32"/>
          <w:szCs w:val="32"/>
        </w:rPr>
        <w:t>护修复长效机制。</w:t>
      </w:r>
    </w:p>
    <w:p w:rsidR="00F37D63" w:rsidRDefault="00EA7E9F">
      <w:pPr>
        <w:spacing w:line="560" w:lineRule="exact"/>
        <w:ind w:firstLineChars="200" w:firstLine="640"/>
        <w:rPr>
          <w:rFonts w:ascii="楷体_GB2312" w:eastAsia="楷体_GB2312" w:hAnsi="仿宋_GB2312" w:cs="Times New Roman"/>
          <w:b/>
          <w:bCs/>
          <w:sz w:val="32"/>
          <w:szCs w:val="32"/>
        </w:rPr>
      </w:pPr>
      <w:r>
        <w:rPr>
          <w:rFonts w:ascii="黑体" w:eastAsia="黑体" w:hAnsi="楷体_GB2312" w:cs="黑体" w:hint="eastAsia"/>
          <w:sz w:val="32"/>
          <w:szCs w:val="32"/>
        </w:rPr>
        <w:t>六、重大基础设施布局和水资源保障研究</w:t>
      </w:r>
      <w:r>
        <w:rPr>
          <w:rFonts w:ascii="楷体_GB2312" w:eastAsia="楷体_GB2312" w:hAnsi="仿宋_GB2312" w:cs="楷体_GB2312" w:hint="eastAsia"/>
          <w:sz w:val="32"/>
          <w:szCs w:val="32"/>
        </w:rPr>
        <w:t>（牵头部门：</w:t>
      </w:r>
      <w:r>
        <w:rPr>
          <w:rFonts w:ascii="楷体_GB2312" w:eastAsia="楷体_GB2312" w:hAnsi="仿宋_GB2312" w:cs="楷体_GB2312" w:hint="eastAsia"/>
          <w:sz w:val="32"/>
          <w:szCs w:val="32"/>
        </w:rPr>
        <w:t>市</w:t>
      </w:r>
      <w:r>
        <w:rPr>
          <w:rFonts w:ascii="楷体_GB2312" w:eastAsia="楷体_GB2312" w:hAnsi="仿宋_GB2312" w:cs="楷体_GB2312" w:hint="eastAsia"/>
          <w:sz w:val="32"/>
          <w:szCs w:val="32"/>
        </w:rPr>
        <w:t>发展和改革局、</w:t>
      </w:r>
      <w:r>
        <w:rPr>
          <w:rFonts w:ascii="楷体_GB2312" w:eastAsia="楷体_GB2312" w:hAnsi="仿宋_GB2312" w:cs="楷体_GB2312" w:hint="eastAsia"/>
          <w:sz w:val="32"/>
          <w:szCs w:val="32"/>
        </w:rPr>
        <w:t>交通运输局、自然资源和规划局、</w:t>
      </w:r>
      <w:r>
        <w:rPr>
          <w:rFonts w:ascii="楷体_GB2312" w:eastAsia="楷体_GB2312" w:hAnsi="仿宋_GB2312" w:cs="楷体_GB2312" w:hint="eastAsia"/>
          <w:sz w:val="32"/>
          <w:szCs w:val="32"/>
        </w:rPr>
        <w:t>水务局）</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分析环渤海地区、山东省、烟台市及招远市范围内铁路、公路、海运等交通基础设施和管道运输等市政基础设施的现状及存在问题，结合区域重大基础设施的建设机遇，预测规模需求，提出重大交通设施的布局和重要市政设施及管线廊道的布局及控制要求，研究如何提升基础设施的运输效率；提高水资源保障能力，优化河湖水系格局，明确具体管护要求。坚守水资源承载能力底线，确定取用水总量、水质达标率等控制目标和配置方案，统筹</w:t>
      </w:r>
      <w:r>
        <w:rPr>
          <w:rFonts w:ascii="仿宋_GB2312" w:eastAsia="仿宋_GB2312" w:hAnsi="仿宋_GB2312" w:cs="仿宋_GB2312" w:hint="eastAsia"/>
          <w:sz w:val="32"/>
          <w:szCs w:val="32"/>
        </w:rPr>
        <w:t>重点河湖岸线及周边土地保护利用。明确水源地保护要求和保护范围。</w:t>
      </w:r>
    </w:p>
    <w:p w:rsidR="00F37D63" w:rsidRDefault="00EA7E9F">
      <w:pPr>
        <w:spacing w:line="560" w:lineRule="exact"/>
        <w:ind w:firstLineChars="200" w:firstLine="640"/>
        <w:rPr>
          <w:rFonts w:ascii="楷体_GB2312" w:eastAsia="楷体_GB2312" w:hAnsi="仿宋_GB2312" w:cs="Times New Roman"/>
          <w:b/>
          <w:bCs/>
          <w:sz w:val="32"/>
          <w:szCs w:val="32"/>
        </w:rPr>
      </w:pPr>
      <w:r>
        <w:rPr>
          <w:rFonts w:ascii="黑体" w:eastAsia="黑体" w:hAnsi="楷体_GB2312" w:cs="黑体" w:hint="eastAsia"/>
          <w:sz w:val="32"/>
          <w:szCs w:val="32"/>
        </w:rPr>
        <w:t>七、建设用地节约集约利用研究（重点专题）</w:t>
      </w:r>
      <w:r>
        <w:rPr>
          <w:rFonts w:ascii="楷体_GB2312" w:eastAsia="楷体_GB2312" w:hAnsi="仿宋_GB2312" w:cs="楷体_GB2312" w:hint="eastAsia"/>
          <w:sz w:val="32"/>
          <w:szCs w:val="32"/>
        </w:rPr>
        <w:t>（牵头部门：市自然资源和规划局）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lastRenderedPageBreak/>
        <w:t>在从增量到存量、从粗放到精细的发展趋势下，基于招远市城市建设地区的存量用地更新政策、更新实施情况等，提出符合未来发展需求的集约节约利用建设用地的总体目标与策略措施，</w:t>
      </w:r>
      <w:r>
        <w:rPr>
          <w:rFonts w:ascii="仿宋_GB2312" w:eastAsia="仿宋_GB2312" w:hAnsi="仿宋_GB2312" w:cs="仿宋_GB2312" w:hint="eastAsia"/>
          <w:spacing w:val="-6"/>
          <w:sz w:val="32"/>
          <w:szCs w:val="32"/>
        </w:rPr>
        <w:t>确定用地优化更新的方向与方式，并提出配套实施机制与政策建议。</w:t>
      </w:r>
      <w:r>
        <w:rPr>
          <w:rFonts w:ascii="仿宋_GB2312" w:eastAsia="仿宋_GB2312" w:hAnsi="仿宋_GB2312" w:cs="仿宋_GB2312" w:hint="eastAsia"/>
          <w:sz w:val="32"/>
          <w:szCs w:val="32"/>
        </w:rPr>
        <w:t>同时，针对招远市农村建设用地的粗放利用现状，调查确定农村散乱、废弃、闲置和低效集体建设用地情况，分析农村建设用地开发利用潜力，通过增减挂钩方式，促进农</w:t>
      </w:r>
      <w:r>
        <w:rPr>
          <w:rFonts w:ascii="仿宋_GB2312" w:eastAsia="仿宋_GB2312" w:hAnsi="仿宋_GB2312" w:cs="仿宋_GB2312" w:hint="eastAsia"/>
          <w:sz w:val="32"/>
          <w:szCs w:val="32"/>
        </w:rPr>
        <w:t>村建设用地布局优化和节约集约用地，提升土地资源综合承载能力。</w:t>
      </w:r>
    </w:p>
    <w:p w:rsidR="00F37D63" w:rsidRDefault="00EA7E9F">
      <w:pPr>
        <w:spacing w:line="560" w:lineRule="exact"/>
        <w:ind w:firstLineChars="200" w:firstLine="640"/>
        <w:rPr>
          <w:rFonts w:ascii="楷体_GB2312" w:eastAsia="楷体_GB2312" w:hAnsi="仿宋_GB2312" w:cs="Times New Roman"/>
          <w:b/>
          <w:bCs/>
          <w:sz w:val="32"/>
          <w:szCs w:val="32"/>
        </w:rPr>
      </w:pPr>
      <w:r>
        <w:rPr>
          <w:rFonts w:ascii="黑体" w:eastAsia="黑体" w:hAnsi="楷体_GB2312" w:cs="黑体" w:hint="eastAsia"/>
          <w:sz w:val="32"/>
          <w:szCs w:val="32"/>
        </w:rPr>
        <w:t>八、林地保护与利用研究</w:t>
      </w:r>
      <w:r>
        <w:rPr>
          <w:rFonts w:ascii="楷体_GB2312" w:eastAsia="楷体_GB2312" w:hAnsi="仿宋_GB2312" w:cs="楷体_GB2312" w:hint="eastAsia"/>
          <w:sz w:val="32"/>
          <w:szCs w:val="32"/>
        </w:rPr>
        <w:t>（牵头部门：市自然资源和规划局）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分析招远市林地保护的现状及存在问题，明确全市林地保护利用的指导思想、目标任务，提出林地保护的策略措施及配套政策，引导全社会严格保护林地、节约集约利用林地、优化林地资源配置，提高林地保护利用效率。</w:t>
      </w:r>
    </w:p>
    <w:p w:rsidR="00F37D63" w:rsidRDefault="00EA7E9F">
      <w:pPr>
        <w:spacing w:line="560" w:lineRule="exact"/>
        <w:ind w:firstLineChars="200" w:firstLine="640"/>
        <w:rPr>
          <w:rFonts w:ascii="楷体_GB2312" w:eastAsia="楷体_GB2312" w:hAnsi="仿宋_GB2312" w:cs="Times New Roman"/>
          <w:b/>
          <w:bCs/>
          <w:sz w:val="32"/>
          <w:szCs w:val="32"/>
        </w:rPr>
      </w:pPr>
      <w:r>
        <w:rPr>
          <w:rFonts w:ascii="黑体" w:eastAsia="黑体" w:hAnsi="楷体_GB2312" w:cs="黑体" w:hint="eastAsia"/>
          <w:sz w:val="32"/>
          <w:szCs w:val="32"/>
        </w:rPr>
        <w:t>九、矿产资源开发优化研究（重点专题）</w:t>
      </w:r>
      <w:r>
        <w:rPr>
          <w:rFonts w:ascii="楷体_GB2312" w:eastAsia="楷体_GB2312" w:hAnsi="仿宋_GB2312" w:cs="楷体_GB2312" w:hint="eastAsia"/>
          <w:sz w:val="32"/>
          <w:szCs w:val="32"/>
        </w:rPr>
        <w:t>（牵头部门：市自然资源和规划局）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分析招远市矿产资源禀赋特点、开发程度和对生态环境的影响，制定矿产资源开发综合区划和功能分区，明确分区管理措施和准入要求；提出能源资源基地、矿区和输送通道的布局和空间预留建议。</w:t>
      </w:r>
    </w:p>
    <w:p w:rsidR="00F37D63" w:rsidRDefault="00EA7E9F">
      <w:pPr>
        <w:spacing w:line="560" w:lineRule="exact"/>
        <w:ind w:firstLineChars="200" w:firstLine="640"/>
        <w:rPr>
          <w:rFonts w:ascii="楷体_GB2312" w:eastAsia="楷体_GB2312" w:hAnsi="仿宋_GB2312" w:cs="Times New Roman"/>
          <w:b/>
          <w:bCs/>
          <w:sz w:val="32"/>
          <w:szCs w:val="32"/>
        </w:rPr>
      </w:pPr>
      <w:r>
        <w:rPr>
          <w:rFonts w:ascii="黑体" w:eastAsia="黑体" w:hAnsi="楷体_GB2312" w:cs="黑体" w:hint="eastAsia"/>
          <w:sz w:val="32"/>
          <w:szCs w:val="32"/>
        </w:rPr>
        <w:t>十、基于村庄布局优化视角的乡村振兴研究</w:t>
      </w:r>
      <w:r>
        <w:rPr>
          <w:rFonts w:ascii="楷体_GB2312" w:eastAsia="楷体_GB2312" w:hAnsi="仿宋_GB2312" w:cs="楷体_GB2312" w:hint="eastAsia"/>
          <w:sz w:val="32"/>
          <w:szCs w:val="32"/>
        </w:rPr>
        <w:t>（牵头部门：市</w:t>
      </w:r>
      <w:r>
        <w:rPr>
          <w:rFonts w:ascii="楷体_GB2312" w:eastAsia="楷体_GB2312" w:hAnsi="仿宋_GB2312" w:cs="楷体_GB2312" w:hint="eastAsia"/>
          <w:sz w:val="32"/>
          <w:szCs w:val="32"/>
        </w:rPr>
        <w:t>农业农村局、</w:t>
      </w:r>
      <w:r>
        <w:rPr>
          <w:rFonts w:ascii="楷体_GB2312" w:eastAsia="楷体_GB2312" w:hAnsi="仿宋_GB2312" w:cs="楷体_GB2312" w:hint="eastAsia"/>
          <w:sz w:val="32"/>
          <w:szCs w:val="32"/>
        </w:rPr>
        <w:t>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基于乡村振兴时代背景，落实国家对乡村振兴的战略要求，统筹考虑空间特征、产业布局、生态人文、人居环境风貌、政策保障等资源要素，立足招远乡村特色，提出全域乡村振兴的目标、</w:t>
      </w:r>
      <w:r>
        <w:rPr>
          <w:rFonts w:ascii="仿宋_GB2312" w:eastAsia="仿宋_GB2312" w:hAnsi="仿宋_GB2312" w:cs="仿宋_GB2312" w:hint="eastAsia"/>
          <w:sz w:val="32"/>
          <w:szCs w:val="32"/>
        </w:rPr>
        <w:lastRenderedPageBreak/>
        <w:t>要点和实施路径，制定村庄布局优化的策略、措施、空间管控方法及指标体系。</w:t>
      </w:r>
    </w:p>
    <w:p w:rsidR="00F37D63" w:rsidRDefault="00EA7E9F">
      <w:pPr>
        <w:spacing w:line="560" w:lineRule="exact"/>
        <w:ind w:firstLineChars="200" w:firstLine="640"/>
        <w:rPr>
          <w:rFonts w:ascii="楷体_GB2312" w:eastAsia="楷体_GB2312" w:hAnsi="仿宋_GB2312" w:cs="Times New Roman"/>
          <w:b/>
          <w:bCs/>
          <w:sz w:val="32"/>
          <w:szCs w:val="32"/>
        </w:rPr>
      </w:pPr>
      <w:r>
        <w:rPr>
          <w:rFonts w:ascii="黑体" w:eastAsia="黑体" w:hAnsi="楷体_GB2312" w:cs="黑体" w:hint="eastAsia"/>
          <w:sz w:val="32"/>
          <w:szCs w:val="32"/>
        </w:rPr>
        <w:t>十一、海陆统筹空间格局优化研究（重点专题）</w:t>
      </w:r>
      <w:r>
        <w:rPr>
          <w:rFonts w:ascii="楷体_GB2312" w:eastAsia="楷体_GB2312" w:hAnsi="仿宋_GB2312" w:cs="楷体_GB2312" w:hint="eastAsia"/>
          <w:sz w:val="32"/>
          <w:szCs w:val="32"/>
        </w:rPr>
        <w:t>（牵头部门：市自然资源和规划局）</w:t>
      </w:r>
    </w:p>
    <w:p w:rsidR="00F37D63" w:rsidRDefault="00EA7E9F">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立足招远市海岸线特点，分析海岸线演变特征，评价海岸线资源利用现状及问题，综合考虑海岸保护、开发与利用，划定开发与保护功能区域，提出海岸线功能指引，以及毗邻岸线侧一定范围内土地用途管制策略。</w:t>
      </w:r>
    </w:p>
    <w:p w:rsidR="00F37D63" w:rsidRDefault="00F37D63">
      <w:pPr>
        <w:spacing w:line="560" w:lineRule="exact"/>
        <w:ind w:firstLineChars="200" w:firstLine="640"/>
        <w:rPr>
          <w:rFonts w:ascii="仿宋_GB2312" w:eastAsia="仿宋_GB2312" w:hAnsi="仿宋_GB2312" w:cs="Times New Roman"/>
          <w:sz w:val="32"/>
          <w:szCs w:val="32"/>
        </w:rPr>
      </w:pPr>
    </w:p>
    <w:sectPr w:rsidR="00F37D63">
      <w:pgSz w:w="11906" w:h="16838"/>
      <w:pgMar w:top="1531" w:right="1531" w:bottom="153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9F" w:rsidRDefault="00EA7E9F">
      <w:r>
        <w:separator/>
      </w:r>
    </w:p>
  </w:endnote>
  <w:endnote w:type="continuationSeparator" w:id="0">
    <w:p w:rsidR="00EA7E9F" w:rsidRDefault="00EA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63" w:rsidRDefault="00EA7E9F">
    <w:pPr>
      <w:pStyle w:val="a7"/>
      <w:jc w:val="center"/>
      <w:rPr>
        <w:rFonts w:cs="Times New Roman"/>
      </w:rPr>
    </w:pPr>
    <w:r>
      <w:pict>
        <v:shapetype id="_x0000_t202" coordsize="21600,21600" o:spt="202" path="m,l,21600r21600,l21600,xe">
          <v:stroke joinstyle="miter"/>
          <v:path gradientshapeok="t" o:connecttype="rect"/>
        </v:shapetype>
        <v:shape id="_x0000_s3074" type="#_x0000_t202" style="position:absolute;left:0;text-align:left;margin-left:92.8pt;margin-top:0;width:2in;height:2in;z-index:2;mso-wrap-style:none;mso-position-horizontal:outside;mso-position-horizontal-relative:margin;mso-width-relative:page;mso-height-relative:page" filled="f" stroked="f">
          <v:textbox style="mso-fit-shape-to-text:t" inset="0,0,0,0">
            <w:txbxContent>
              <w:p w:rsidR="00F37D63" w:rsidRDefault="00EA7E9F">
                <w:pPr>
                  <w:pStyle w:val="a7"/>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7B0C60">
                  <w:rPr>
                    <w:rFonts w:ascii="仿宋_GB2312" w:eastAsia="仿宋_GB2312" w:hAnsi="仿宋_GB2312" w:cs="仿宋_GB2312"/>
                    <w:noProof/>
                    <w:sz w:val="32"/>
                    <w:szCs w:val="32"/>
                  </w:rPr>
                  <w:t>- 16 -</w:t>
                </w:r>
                <w:r>
                  <w:rPr>
                    <w:rFonts w:ascii="仿宋_GB2312" w:eastAsia="仿宋_GB2312" w:hAnsi="仿宋_GB2312" w:cs="仿宋_GB2312" w:hint="eastAsia"/>
                    <w:sz w:val="32"/>
                    <w:szCs w:val="32"/>
                  </w:rPr>
                  <w:fldChar w:fldCharType="end"/>
                </w:r>
              </w:p>
            </w:txbxContent>
          </v:textbox>
          <w10:wrap anchorx="margin"/>
        </v:shape>
      </w:pict>
    </w:r>
    <w:r>
      <w:pict>
        <v:shape id="_x0000_s3073" type="#_x0000_t202" style="position:absolute;left:0;text-align:left;margin-left:92.8pt;margin-top:0;width:2in;height:2in;z-index:1;mso-wrap-style:none;mso-position-horizontal:outside;mso-position-horizontal-relative:margin;mso-width-relative:page;mso-height-relative:page" filled="f" stroked="f">
          <v:textbox style="mso-fit-shape-to-text:t" inset="0,0,0,0">
            <w:txbxContent>
              <w:p w:rsidR="00F37D63" w:rsidRDefault="00F37D63">
                <w:pPr>
                  <w:pStyle w:val="a7"/>
                  <w:jc w:val="center"/>
                  <w:rPr>
                    <w:rFonts w:cs="Times New Roman"/>
                  </w:rPr>
                </w:pPr>
              </w:p>
            </w:txbxContent>
          </v:textbox>
          <w10:wrap anchorx="margin"/>
        </v:shape>
      </w:pict>
    </w:r>
  </w:p>
  <w:p w:rsidR="00F37D63" w:rsidRDefault="00F37D63">
    <w:pPr>
      <w:pStyle w:val="a7"/>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9F" w:rsidRDefault="00EA7E9F">
      <w:r>
        <w:separator/>
      </w:r>
    </w:p>
  </w:footnote>
  <w:footnote w:type="continuationSeparator" w:id="0">
    <w:p w:rsidR="00EA7E9F" w:rsidRDefault="00EA7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63" w:rsidRDefault="00F37D63">
    <w:pPr>
      <w:pStyle w:val="a8"/>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45415D9"/>
    <w:rsid w:val="000674AD"/>
    <w:rsid w:val="00145D9E"/>
    <w:rsid w:val="001B5184"/>
    <w:rsid w:val="001D3C74"/>
    <w:rsid w:val="00470BAA"/>
    <w:rsid w:val="00484694"/>
    <w:rsid w:val="00517D57"/>
    <w:rsid w:val="00602A03"/>
    <w:rsid w:val="00663BDD"/>
    <w:rsid w:val="00720D58"/>
    <w:rsid w:val="007B0C60"/>
    <w:rsid w:val="00981638"/>
    <w:rsid w:val="00AD3815"/>
    <w:rsid w:val="00B17E02"/>
    <w:rsid w:val="00C12F03"/>
    <w:rsid w:val="00C12F13"/>
    <w:rsid w:val="00C46BD8"/>
    <w:rsid w:val="00D86221"/>
    <w:rsid w:val="00E258A0"/>
    <w:rsid w:val="00E76BD1"/>
    <w:rsid w:val="00EA7E9F"/>
    <w:rsid w:val="00F37D63"/>
    <w:rsid w:val="00F45BB8"/>
    <w:rsid w:val="02002192"/>
    <w:rsid w:val="02F65897"/>
    <w:rsid w:val="03EE7AFF"/>
    <w:rsid w:val="05F04AF1"/>
    <w:rsid w:val="066A541B"/>
    <w:rsid w:val="0821449A"/>
    <w:rsid w:val="08E461D8"/>
    <w:rsid w:val="091669CA"/>
    <w:rsid w:val="0AC25A76"/>
    <w:rsid w:val="0B484496"/>
    <w:rsid w:val="0E652769"/>
    <w:rsid w:val="0F304DB5"/>
    <w:rsid w:val="12892200"/>
    <w:rsid w:val="14BD10CD"/>
    <w:rsid w:val="153D4F6E"/>
    <w:rsid w:val="160C36AD"/>
    <w:rsid w:val="161F3D84"/>
    <w:rsid w:val="165C5269"/>
    <w:rsid w:val="16BC1F76"/>
    <w:rsid w:val="18177907"/>
    <w:rsid w:val="18ED5B53"/>
    <w:rsid w:val="19A3710E"/>
    <w:rsid w:val="1CB81E54"/>
    <w:rsid w:val="1D4877C2"/>
    <w:rsid w:val="202A4692"/>
    <w:rsid w:val="20627551"/>
    <w:rsid w:val="214D632C"/>
    <w:rsid w:val="21D33DF8"/>
    <w:rsid w:val="231F5F76"/>
    <w:rsid w:val="23226F20"/>
    <w:rsid w:val="2332591E"/>
    <w:rsid w:val="23940F0C"/>
    <w:rsid w:val="24282BD6"/>
    <w:rsid w:val="2695585E"/>
    <w:rsid w:val="26D94586"/>
    <w:rsid w:val="27482E06"/>
    <w:rsid w:val="289C70A3"/>
    <w:rsid w:val="2AB2361E"/>
    <w:rsid w:val="2B9F297A"/>
    <w:rsid w:val="2C3A497B"/>
    <w:rsid w:val="2C710F46"/>
    <w:rsid w:val="2D8C5465"/>
    <w:rsid w:val="2E1014C8"/>
    <w:rsid w:val="2E473271"/>
    <w:rsid w:val="2E87390A"/>
    <w:rsid w:val="2E937BF9"/>
    <w:rsid w:val="30E26024"/>
    <w:rsid w:val="33F829AD"/>
    <w:rsid w:val="357A73B1"/>
    <w:rsid w:val="36595844"/>
    <w:rsid w:val="36D76BB4"/>
    <w:rsid w:val="37AA2525"/>
    <w:rsid w:val="38000101"/>
    <w:rsid w:val="38BA03CF"/>
    <w:rsid w:val="390530FB"/>
    <w:rsid w:val="3A18576D"/>
    <w:rsid w:val="3D34676F"/>
    <w:rsid w:val="4153381B"/>
    <w:rsid w:val="416824ED"/>
    <w:rsid w:val="41A24D85"/>
    <w:rsid w:val="41FB58C4"/>
    <w:rsid w:val="42632419"/>
    <w:rsid w:val="43355992"/>
    <w:rsid w:val="43471A7A"/>
    <w:rsid w:val="454C7217"/>
    <w:rsid w:val="487E2640"/>
    <w:rsid w:val="48A14CB1"/>
    <w:rsid w:val="494B380F"/>
    <w:rsid w:val="4A965B44"/>
    <w:rsid w:val="4B914BCF"/>
    <w:rsid w:val="4C7B3374"/>
    <w:rsid w:val="4C893437"/>
    <w:rsid w:val="4CC52897"/>
    <w:rsid w:val="4DED32FC"/>
    <w:rsid w:val="4E1266B6"/>
    <w:rsid w:val="4ED13C05"/>
    <w:rsid w:val="513D3248"/>
    <w:rsid w:val="5368709A"/>
    <w:rsid w:val="573349D4"/>
    <w:rsid w:val="57B7557A"/>
    <w:rsid w:val="58E002D0"/>
    <w:rsid w:val="5D86126B"/>
    <w:rsid w:val="5EAB5A0E"/>
    <w:rsid w:val="5ECB2B8D"/>
    <w:rsid w:val="5F0C0551"/>
    <w:rsid w:val="5FF96364"/>
    <w:rsid w:val="60BF5B6D"/>
    <w:rsid w:val="613740D7"/>
    <w:rsid w:val="626F706E"/>
    <w:rsid w:val="645415D9"/>
    <w:rsid w:val="660239FB"/>
    <w:rsid w:val="66A912DC"/>
    <w:rsid w:val="66BC48D2"/>
    <w:rsid w:val="682409B3"/>
    <w:rsid w:val="688A45D1"/>
    <w:rsid w:val="6A1F52A2"/>
    <w:rsid w:val="6BBD36B0"/>
    <w:rsid w:val="6FBC2B80"/>
    <w:rsid w:val="7262007E"/>
    <w:rsid w:val="729C6CED"/>
    <w:rsid w:val="75D65F7C"/>
    <w:rsid w:val="765C5B04"/>
    <w:rsid w:val="77F940E6"/>
    <w:rsid w:val="79004022"/>
    <w:rsid w:val="79312405"/>
    <w:rsid w:val="7936382C"/>
    <w:rsid w:val="7936795B"/>
    <w:rsid w:val="7B1A0D27"/>
    <w:rsid w:val="7D3228CC"/>
    <w:rsid w:val="7E1747A7"/>
    <w:rsid w:val="7E3F2555"/>
    <w:rsid w:val="7FF61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qFormat="1"/>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semiHidden="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annotation subject" w:unhideWhenUsed="0"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0"/>
    <w:next w:val="a"/>
    <w:link w:val="1Char"/>
    <w:uiPriority w:val="99"/>
    <w:qFormat/>
    <w:pPr>
      <w:spacing w:line="312" w:lineRule="auto"/>
      <w:ind w:left="420" w:hanging="132"/>
    </w:pPr>
    <w:rPr>
      <w:kern w:val="0"/>
      <w:sz w:val="28"/>
      <w:szCs w:val="28"/>
    </w:rPr>
  </w:style>
  <w:style w:type="paragraph" w:styleId="2">
    <w:name w:val="heading 2"/>
    <w:basedOn w:val="1"/>
    <w:next w:val="a1"/>
    <w:link w:val="2Char"/>
    <w:uiPriority w:val="99"/>
    <w:qFormat/>
    <w:pPr>
      <w:adjustRightInd w:val="0"/>
      <w:snapToGrid w:val="0"/>
      <w:ind w:left="0" w:firstLine="0"/>
      <w:jc w:val="left"/>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next w:val="a"/>
    <w:link w:val="Char"/>
    <w:uiPriority w:val="99"/>
    <w:qFormat/>
    <w:pPr>
      <w:spacing w:before="240" w:after="60"/>
      <w:jc w:val="center"/>
      <w:outlineLvl w:val="0"/>
    </w:pPr>
    <w:rPr>
      <w:rFonts w:ascii="Calibri Light" w:hAnsi="Calibri Light" w:cs="Calibri Light"/>
      <w:b/>
      <w:bCs/>
      <w:sz w:val="32"/>
      <w:szCs w:val="32"/>
    </w:rPr>
  </w:style>
  <w:style w:type="paragraph" w:styleId="a1">
    <w:name w:val="Normal Indent"/>
    <w:basedOn w:val="a"/>
    <w:uiPriority w:val="99"/>
    <w:semiHidden/>
    <w:qFormat/>
    <w:pPr>
      <w:ind w:firstLineChars="200" w:firstLine="420"/>
    </w:pPr>
  </w:style>
  <w:style w:type="paragraph" w:styleId="a5">
    <w:name w:val="annotation text"/>
    <w:basedOn w:val="a"/>
    <w:link w:val="Char0"/>
    <w:uiPriority w:val="99"/>
    <w:semiHidden/>
    <w:qFormat/>
    <w:pPr>
      <w:jc w:val="left"/>
    </w:pPr>
  </w:style>
  <w:style w:type="paragraph" w:styleId="a6">
    <w:name w:val="Balloon Text"/>
    <w:basedOn w:val="a"/>
    <w:link w:val="Char1"/>
    <w:uiPriority w:val="99"/>
    <w:semiHidden/>
    <w:qFormat/>
    <w:rPr>
      <w:sz w:val="18"/>
      <w:szCs w:val="18"/>
    </w:rPr>
  </w:style>
  <w:style w:type="paragraph" w:styleId="a7">
    <w:name w:val="footer"/>
    <w:basedOn w:val="a"/>
    <w:link w:val="Char2"/>
    <w:uiPriority w:val="99"/>
    <w:qFormat/>
    <w:pPr>
      <w:tabs>
        <w:tab w:val="center" w:pos="4153"/>
        <w:tab w:val="right" w:pos="8306"/>
      </w:tabs>
      <w:snapToGrid w:val="0"/>
      <w:jc w:val="left"/>
    </w:pPr>
    <w:rPr>
      <w:kern w:val="0"/>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paragraph" w:styleId="a9">
    <w:name w:val="annotation subject"/>
    <w:basedOn w:val="a5"/>
    <w:next w:val="a5"/>
    <w:link w:val="Char4"/>
    <w:uiPriority w:val="99"/>
    <w:semiHidden/>
    <w:qFormat/>
    <w:rPr>
      <w:b/>
      <w:bCs/>
    </w:rPr>
  </w:style>
  <w:style w:type="character" w:styleId="aa">
    <w:name w:val="Hyperlink"/>
    <w:uiPriority w:val="99"/>
    <w:qFormat/>
    <w:rPr>
      <w:color w:val="0000FF"/>
      <w:u w:val="single"/>
    </w:rPr>
  </w:style>
  <w:style w:type="character" w:styleId="ab">
    <w:name w:val="annotation reference"/>
    <w:uiPriority w:val="99"/>
    <w:semiHidden/>
    <w:qFormat/>
    <w:rPr>
      <w:sz w:val="21"/>
      <w:szCs w:val="21"/>
    </w:rPr>
  </w:style>
  <w:style w:type="character" w:customStyle="1" w:styleId="1Char">
    <w:name w:val="标题 1 Char"/>
    <w:link w:val="1"/>
    <w:uiPriority w:val="9"/>
    <w:qFormat/>
    <w:rPr>
      <w:rFonts w:ascii="Calibri" w:hAnsi="Calibri" w:cs="Calibri"/>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Char">
    <w:name w:val="标题 Char"/>
    <w:link w:val="a0"/>
    <w:uiPriority w:val="10"/>
    <w:qFormat/>
    <w:rPr>
      <w:rFonts w:ascii="Cambria" w:hAnsi="Cambria" w:cs="Times New Roman"/>
      <w:b/>
      <w:bCs/>
      <w:sz w:val="32"/>
      <w:szCs w:val="32"/>
    </w:rPr>
  </w:style>
  <w:style w:type="character" w:customStyle="1" w:styleId="Char2">
    <w:name w:val="页脚 Char"/>
    <w:link w:val="a7"/>
    <w:uiPriority w:val="99"/>
    <w:semiHidden/>
    <w:qFormat/>
    <w:rPr>
      <w:rFonts w:ascii="Calibri" w:hAnsi="Calibri" w:cs="Calibri"/>
      <w:sz w:val="18"/>
      <w:szCs w:val="18"/>
    </w:rPr>
  </w:style>
  <w:style w:type="character" w:customStyle="1" w:styleId="Char3">
    <w:name w:val="页眉 Char"/>
    <w:link w:val="a8"/>
    <w:uiPriority w:val="99"/>
    <w:semiHidden/>
    <w:qFormat/>
    <w:rPr>
      <w:rFonts w:ascii="Calibri" w:hAnsi="Calibri" w:cs="Calibri"/>
      <w:sz w:val="18"/>
      <w:szCs w:val="18"/>
    </w:rPr>
  </w:style>
  <w:style w:type="character" w:customStyle="1" w:styleId="Char0">
    <w:name w:val="批注文字 Char"/>
    <w:link w:val="a5"/>
    <w:uiPriority w:val="99"/>
    <w:semiHidden/>
    <w:qFormat/>
    <w:rPr>
      <w:rFonts w:ascii="Calibri" w:hAnsi="Calibri" w:cs="Calibri"/>
      <w:szCs w:val="21"/>
    </w:rPr>
  </w:style>
  <w:style w:type="character" w:customStyle="1" w:styleId="Char4">
    <w:name w:val="批注主题 Char"/>
    <w:link w:val="a9"/>
    <w:uiPriority w:val="99"/>
    <w:semiHidden/>
    <w:qFormat/>
    <w:rPr>
      <w:rFonts w:ascii="Calibri" w:hAnsi="Calibri" w:cs="Calibri"/>
      <w:b/>
      <w:bCs/>
      <w:szCs w:val="21"/>
    </w:rPr>
  </w:style>
  <w:style w:type="character" w:customStyle="1" w:styleId="Char1">
    <w:name w:val="批注框文本 Char"/>
    <w:link w:val="a6"/>
    <w:uiPriority w:val="99"/>
    <w:semiHidden/>
    <w:qFormat/>
    <w:rPr>
      <w:rFonts w:ascii="Calibri" w:hAnsi="Calibri" w:cs="Calibri"/>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1218</Words>
  <Characters>6945</Characters>
  <Application>Microsoft Office Word</Application>
  <DocSecurity>0</DocSecurity>
  <Lines>57</Lines>
  <Paragraphs>16</Paragraphs>
  <ScaleCrop>false</ScaleCrop>
  <Company>China</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30岁前的每一天</dc:creator>
  <cp:lastModifiedBy>招远市法制办公室系统管理员</cp:lastModifiedBy>
  <cp:revision>5</cp:revision>
  <cp:lastPrinted>2019-07-08T08:27:00Z</cp:lastPrinted>
  <dcterms:created xsi:type="dcterms:W3CDTF">2018-10-12T01:18:00Z</dcterms:created>
  <dcterms:modified xsi:type="dcterms:W3CDTF">2019-12-30T23:58:00Z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